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2C7A" w14:textId="2E4FB348" w:rsidR="005C3DD6" w:rsidRDefault="000C6655" w:rsidP="00D120FB">
      <w:pPr>
        <w:tabs>
          <w:tab w:val="left" w:pos="5280"/>
        </w:tabs>
        <w:jc w:val="both"/>
        <w:outlineLvl w:val="0"/>
        <w:rPr>
          <w:rFonts w:ascii="Century Gothic" w:hAnsi="Century Gothic" w:cs="Calibri"/>
          <w:sz w:val="16"/>
          <w:szCs w:val="16"/>
        </w:rPr>
      </w:pPr>
      <w:r>
        <w:rPr>
          <w:rFonts w:ascii="Century Gothic" w:hAnsi="Century Gothic" w:cs="Arial"/>
          <w:sz w:val="16"/>
          <w:szCs w:val="16"/>
        </w:rPr>
        <w:t>Monte Titoli</w:t>
      </w:r>
      <w:r w:rsidR="00E83622" w:rsidRPr="00277868">
        <w:rPr>
          <w:rFonts w:ascii="Century Gothic" w:hAnsi="Century Gothic" w:cs="Arial"/>
          <w:sz w:val="16"/>
          <w:szCs w:val="16"/>
        </w:rPr>
        <w:t xml:space="preserve"> S.p.A., con sede legale in Milano, </w:t>
      </w:r>
      <w:r w:rsidR="00E36AE2">
        <w:rPr>
          <w:rFonts w:ascii="Century Gothic" w:hAnsi="Century Gothic" w:cs="Arial"/>
          <w:sz w:val="16"/>
          <w:szCs w:val="16"/>
        </w:rPr>
        <w:t>Piazza degli Affari</w:t>
      </w:r>
      <w:r w:rsidR="00E83622" w:rsidRPr="00277868">
        <w:rPr>
          <w:rFonts w:ascii="Century Gothic" w:hAnsi="Century Gothic" w:cs="Arial"/>
          <w:sz w:val="16"/>
          <w:szCs w:val="16"/>
        </w:rPr>
        <w:t xml:space="preserve"> n. </w:t>
      </w:r>
      <w:r w:rsidR="00E36AE2">
        <w:rPr>
          <w:rFonts w:ascii="Century Gothic" w:hAnsi="Century Gothic" w:cs="Arial"/>
          <w:sz w:val="16"/>
          <w:szCs w:val="16"/>
        </w:rPr>
        <w:t>6</w:t>
      </w:r>
      <w:r w:rsidR="00E83622" w:rsidRPr="00277868">
        <w:rPr>
          <w:rFonts w:ascii="Century Gothic" w:hAnsi="Century Gothic" w:cs="Arial"/>
          <w:sz w:val="16"/>
          <w:szCs w:val="16"/>
        </w:rPr>
        <w:t xml:space="preserve">, Codice Fiscale n. </w:t>
      </w:r>
      <w:r w:rsidR="00BF1325" w:rsidRPr="00A64F33">
        <w:rPr>
          <w:rFonts w:ascii="Century Gothic" w:hAnsi="Century Gothic"/>
          <w:sz w:val="16"/>
          <w:szCs w:val="18"/>
        </w:rPr>
        <w:t>03638780159</w:t>
      </w:r>
      <w:r w:rsidR="00E83622" w:rsidRPr="00277868">
        <w:rPr>
          <w:rFonts w:ascii="Century Gothic" w:hAnsi="Century Gothic" w:cs="Arial"/>
          <w:sz w:val="16"/>
          <w:szCs w:val="16"/>
        </w:rPr>
        <w:t xml:space="preserve">, appartenente al Gruppo </w:t>
      </w:r>
      <w:r w:rsidR="00BF1325">
        <w:rPr>
          <w:rFonts w:ascii="Century Gothic" w:hAnsi="Century Gothic" w:cs="Arial"/>
          <w:sz w:val="16"/>
          <w:szCs w:val="16"/>
        </w:rPr>
        <w:t>Euronext</w:t>
      </w:r>
      <w:r w:rsidR="000274F6">
        <w:rPr>
          <w:rFonts w:ascii="Century Gothic" w:hAnsi="Century Gothic" w:cs="Arial"/>
          <w:sz w:val="16"/>
          <w:szCs w:val="16"/>
        </w:rPr>
        <w:t xml:space="preserve">, </w:t>
      </w:r>
      <w:r w:rsidR="000274F6" w:rsidRPr="000274F6">
        <w:rPr>
          <w:rFonts w:ascii="Century Gothic" w:hAnsi="Century Gothic" w:cs="Arial"/>
          <w:sz w:val="16"/>
          <w:szCs w:val="16"/>
        </w:rPr>
        <w:t>P.IVA di Gruppo</w:t>
      </w:r>
      <w:r w:rsidR="00666229">
        <w:rPr>
          <w:rFonts w:ascii="Century Gothic" w:hAnsi="Century Gothic" w:cs="Arial"/>
          <w:sz w:val="16"/>
          <w:szCs w:val="16"/>
        </w:rPr>
        <w:t xml:space="preserve"> </w:t>
      </w:r>
      <w:r w:rsidR="000274F6" w:rsidRPr="000274F6">
        <w:rPr>
          <w:rFonts w:ascii="Century Gothic" w:hAnsi="Century Gothic" w:cs="Arial"/>
          <w:sz w:val="16"/>
          <w:szCs w:val="16"/>
        </w:rPr>
        <w:t>10977060960</w:t>
      </w:r>
      <w:r w:rsidR="00E83622" w:rsidRPr="00277868">
        <w:rPr>
          <w:rFonts w:ascii="Century Gothic" w:hAnsi="Century Gothic" w:cs="Arial"/>
          <w:sz w:val="16"/>
          <w:szCs w:val="16"/>
        </w:rPr>
        <w:t xml:space="preserve">, </w:t>
      </w:r>
      <w:r w:rsidR="00E83622" w:rsidRPr="00E809F4">
        <w:rPr>
          <w:rFonts w:ascii="Century Gothic" w:hAnsi="Century Gothic" w:cs="Arial"/>
          <w:sz w:val="16"/>
          <w:szCs w:val="16"/>
        </w:rPr>
        <w:t>(di seguito “</w:t>
      </w:r>
      <w:r>
        <w:rPr>
          <w:rFonts w:ascii="Century Gothic" w:hAnsi="Century Gothic" w:cs="Arial"/>
          <w:b/>
          <w:sz w:val="16"/>
          <w:szCs w:val="16"/>
        </w:rPr>
        <w:t>Monte Titoli</w:t>
      </w:r>
      <w:r w:rsidR="00E83622" w:rsidRPr="00E809F4">
        <w:rPr>
          <w:rStyle w:val="google-src-text"/>
          <w:rFonts w:ascii="Century Gothic" w:hAnsi="Century Gothic" w:cs="Arial"/>
          <w:sz w:val="16"/>
          <w:szCs w:val="16"/>
        </w:rPr>
        <w:t xml:space="preserve">”), </w:t>
      </w:r>
      <w:r w:rsidR="00E83622" w:rsidRPr="00E809F4">
        <w:rPr>
          <w:rFonts w:ascii="Century Gothic" w:hAnsi="Century Gothic" w:cs="Arial"/>
          <w:sz w:val="16"/>
          <w:szCs w:val="16"/>
        </w:rPr>
        <w:t>in qualità di “</w:t>
      </w:r>
      <w:r w:rsidR="00E83622" w:rsidRPr="00E809F4">
        <w:rPr>
          <w:rFonts w:ascii="Century Gothic" w:hAnsi="Century Gothic" w:cs="Arial"/>
          <w:b/>
          <w:sz w:val="16"/>
          <w:szCs w:val="16"/>
        </w:rPr>
        <w:t>Rappresentante Designato</w:t>
      </w:r>
      <w:r w:rsidR="00E83622" w:rsidRPr="00E809F4">
        <w:rPr>
          <w:rFonts w:ascii="Century Gothic" w:hAnsi="Century Gothic" w:cs="Arial"/>
          <w:sz w:val="16"/>
          <w:szCs w:val="16"/>
        </w:rPr>
        <w:t>”</w:t>
      </w:r>
      <w:r w:rsidR="00FC36FE" w:rsidRPr="00FC36FE">
        <w:rPr>
          <w:rFonts w:ascii="Century Gothic" w:hAnsi="Century Gothic" w:cs="Arial"/>
          <w:sz w:val="16"/>
          <w:szCs w:val="16"/>
        </w:rPr>
        <w:t xml:space="preserve"> </w:t>
      </w:r>
      <w:r w:rsidR="00FC36FE" w:rsidRPr="003E205B">
        <w:rPr>
          <w:rFonts w:ascii="Century Gothic" w:hAnsi="Century Gothic" w:cs="Arial"/>
          <w:sz w:val="16"/>
          <w:szCs w:val="16"/>
        </w:rPr>
        <w:t xml:space="preserve">di </w:t>
      </w:r>
      <w:r>
        <w:rPr>
          <w:rFonts w:ascii="Century Gothic" w:hAnsi="Century Gothic" w:cs="Calibri"/>
          <w:sz w:val="16"/>
          <w:szCs w:val="16"/>
        </w:rPr>
        <w:t>Comer Industries</w:t>
      </w:r>
      <w:r w:rsidR="00FC36FE" w:rsidRPr="003E205B">
        <w:rPr>
          <w:rFonts w:ascii="Century Gothic" w:hAnsi="Century Gothic" w:cs="Calibri"/>
          <w:sz w:val="16"/>
          <w:szCs w:val="16"/>
        </w:rPr>
        <w:t xml:space="preserve"> </w:t>
      </w:r>
      <w:r w:rsidR="00FC36FE" w:rsidRPr="003E205B">
        <w:rPr>
          <w:rFonts w:ascii="Century Gothic" w:hAnsi="Century Gothic" w:cs="Arial"/>
          <w:sz w:val="16"/>
          <w:szCs w:val="16"/>
        </w:rPr>
        <w:t>S.p.A.</w:t>
      </w:r>
      <w:r w:rsidR="00324E8B" w:rsidRPr="00324E8B">
        <w:rPr>
          <w:rFonts w:ascii="Century Gothic" w:hAnsi="Century Gothic" w:cs="Arial"/>
          <w:sz w:val="16"/>
          <w:szCs w:val="16"/>
        </w:rPr>
        <w:t xml:space="preserve"> </w:t>
      </w:r>
      <w:r w:rsidR="00324E8B" w:rsidRPr="003E205B">
        <w:rPr>
          <w:rFonts w:ascii="Century Gothic" w:hAnsi="Century Gothic" w:cs="Arial"/>
          <w:sz w:val="16"/>
          <w:szCs w:val="16"/>
        </w:rPr>
        <w:t>(di seguito, la “</w:t>
      </w:r>
      <w:r w:rsidR="00324E8B" w:rsidRPr="003E205B">
        <w:rPr>
          <w:rFonts w:ascii="Century Gothic" w:hAnsi="Century Gothic" w:cs="Arial"/>
          <w:b/>
          <w:sz w:val="16"/>
          <w:szCs w:val="16"/>
        </w:rPr>
        <w:t>Società</w:t>
      </w:r>
      <w:r w:rsidR="00324E8B" w:rsidRPr="003E205B">
        <w:rPr>
          <w:rFonts w:ascii="Century Gothic" w:hAnsi="Century Gothic" w:cs="Arial"/>
          <w:sz w:val="16"/>
          <w:szCs w:val="16"/>
        </w:rPr>
        <w:t>”)</w:t>
      </w:r>
      <w:r w:rsidR="00182724">
        <w:rPr>
          <w:rFonts w:ascii="Century Gothic" w:hAnsi="Century Gothic" w:cs="Arial"/>
          <w:sz w:val="16"/>
          <w:szCs w:val="16"/>
        </w:rPr>
        <w:t>,</w:t>
      </w:r>
      <w:r w:rsidR="00E83622" w:rsidRPr="00E809F4">
        <w:rPr>
          <w:rFonts w:ascii="Century Gothic" w:hAnsi="Century Gothic" w:cs="Arial"/>
          <w:sz w:val="16"/>
          <w:szCs w:val="16"/>
        </w:rPr>
        <w:t xml:space="preserve"> ai sensi dell’articolo 135-</w:t>
      </w:r>
      <w:r w:rsidR="00E83622" w:rsidRPr="00E809F4">
        <w:rPr>
          <w:rFonts w:ascii="Century Gothic" w:hAnsi="Century Gothic" w:cs="Arial"/>
          <w:i/>
          <w:sz w:val="16"/>
          <w:szCs w:val="16"/>
        </w:rPr>
        <w:t>undecies</w:t>
      </w:r>
      <w:r w:rsidR="00287F12">
        <w:rPr>
          <w:rFonts w:ascii="Century Gothic" w:hAnsi="Century Gothic" w:cs="Arial"/>
          <w:i/>
          <w:sz w:val="16"/>
          <w:szCs w:val="16"/>
        </w:rPr>
        <w:t xml:space="preserve"> </w:t>
      </w:r>
      <w:r w:rsidR="00EE3259">
        <w:rPr>
          <w:rFonts w:ascii="Century Gothic" w:hAnsi="Century Gothic" w:cs="Arial"/>
          <w:sz w:val="16"/>
          <w:szCs w:val="16"/>
        </w:rPr>
        <w:t>TUF</w:t>
      </w:r>
      <w:r w:rsidR="003312E6">
        <w:rPr>
          <w:rFonts w:ascii="Century Gothic" w:hAnsi="Century Gothic" w:cs="Arial"/>
          <w:sz w:val="16"/>
          <w:szCs w:val="16"/>
        </w:rPr>
        <w:t xml:space="preserve"> </w:t>
      </w:r>
      <w:r>
        <w:rPr>
          <w:rFonts w:ascii="Century Gothic" w:hAnsi="Century Gothic" w:cs="Arial"/>
          <w:sz w:val="16"/>
          <w:szCs w:val="16"/>
        </w:rPr>
        <w:t xml:space="preserve"> e dello Statuto Sociale</w:t>
      </w:r>
      <w:r w:rsidR="00750631">
        <w:rPr>
          <w:rFonts w:ascii="Century Gothic" w:hAnsi="Century Gothic" w:cs="Arial"/>
          <w:sz w:val="16"/>
          <w:szCs w:val="16"/>
        </w:rPr>
        <w:t xml:space="preserve">, </w:t>
      </w:r>
      <w:r w:rsidR="00E83622" w:rsidRPr="003E205B">
        <w:rPr>
          <w:rFonts w:ascii="Century Gothic" w:hAnsi="Century Gothic" w:cs="Arial"/>
          <w:sz w:val="16"/>
          <w:szCs w:val="16"/>
        </w:rPr>
        <w:t xml:space="preserve">in persona di un proprio dipendente o collaboratore munito di specifico incarico, procede alla raccolta di deleghe di voto relative all'Assemblea </w:t>
      </w:r>
      <w:r>
        <w:rPr>
          <w:rFonts w:ascii="Century Gothic" w:hAnsi="Century Gothic" w:cs="Arial"/>
          <w:sz w:val="16"/>
          <w:szCs w:val="16"/>
        </w:rPr>
        <w:t>Ordinaria</w:t>
      </w:r>
      <w:r w:rsidR="005C3DD6" w:rsidRPr="003E205B">
        <w:rPr>
          <w:rFonts w:ascii="Century Gothic" w:hAnsi="Century Gothic" w:cs="Arial"/>
          <w:sz w:val="16"/>
          <w:szCs w:val="16"/>
        </w:rPr>
        <w:t xml:space="preserve"> di </w:t>
      </w:r>
      <w:r>
        <w:rPr>
          <w:rFonts w:ascii="Century Gothic" w:hAnsi="Century Gothic" w:cs="Arial"/>
          <w:sz w:val="16"/>
          <w:szCs w:val="16"/>
        </w:rPr>
        <w:t>Comer Industries</w:t>
      </w:r>
      <w:r w:rsidR="005C3DD6" w:rsidRPr="003E205B">
        <w:rPr>
          <w:rFonts w:ascii="Century Gothic" w:hAnsi="Century Gothic" w:cs="Arial"/>
          <w:sz w:val="16"/>
          <w:szCs w:val="16"/>
        </w:rPr>
        <w:t xml:space="preserve"> S.p.A. convocata</w:t>
      </w:r>
      <w:r w:rsidR="005C3DD6" w:rsidRPr="003E205B">
        <w:t xml:space="preserve"> </w:t>
      </w:r>
      <w:r>
        <w:rPr>
          <w:rFonts w:ascii="Century Gothic" w:hAnsi="Century Gothic" w:cs="Arial"/>
          <w:sz w:val="16"/>
          <w:szCs w:val="16"/>
        </w:rPr>
        <w:t>in Reggiolo (RE), Via Magellano, n. 27</w:t>
      </w:r>
      <w:r w:rsidR="00DD5669">
        <w:rPr>
          <w:rFonts w:ascii="Century Gothic" w:hAnsi="Century Gothic" w:cs="Arial"/>
          <w:sz w:val="16"/>
          <w:szCs w:val="16"/>
        </w:rPr>
        <w:t xml:space="preserve"> </w:t>
      </w:r>
      <w:r w:rsidR="005C3DD6" w:rsidRPr="003E205B">
        <w:rPr>
          <w:rFonts w:ascii="Century Gothic" w:hAnsi="Century Gothic" w:cs="Arial"/>
          <w:sz w:val="16"/>
          <w:szCs w:val="16"/>
        </w:rPr>
        <w:t>per il</w:t>
      </w:r>
      <w:r w:rsidR="00DD5669">
        <w:rPr>
          <w:rFonts w:ascii="Century Gothic" w:hAnsi="Century Gothic" w:cs="Arial"/>
          <w:sz w:val="16"/>
          <w:szCs w:val="16"/>
        </w:rPr>
        <w:t xml:space="preserve"> </w:t>
      </w:r>
      <w:r>
        <w:rPr>
          <w:rFonts w:ascii="Century Gothic" w:hAnsi="Century Gothic" w:cs="Arial"/>
          <w:sz w:val="16"/>
          <w:szCs w:val="16"/>
        </w:rPr>
        <w:t>giorno 29 aprile 2025 alle ore 09:00</w:t>
      </w:r>
      <w:r w:rsidR="00162F94">
        <w:rPr>
          <w:rFonts w:ascii="Century Gothic" w:hAnsi="Century Gothic" w:cs="Arial"/>
          <w:sz w:val="16"/>
          <w:szCs w:val="16"/>
        </w:rPr>
        <w:t xml:space="preserve"> </w:t>
      </w:r>
      <w:r w:rsidR="00796F17">
        <w:rPr>
          <w:rFonts w:ascii="Century Gothic" w:hAnsi="Century Gothic" w:cs="Arial"/>
          <w:sz w:val="16"/>
          <w:szCs w:val="16"/>
        </w:rPr>
        <w:t xml:space="preserve">in </w:t>
      </w:r>
      <w:r>
        <w:rPr>
          <w:rFonts w:ascii="Century Gothic" w:hAnsi="Century Gothic" w:cs="Arial"/>
          <w:bCs/>
          <w:sz w:val="16"/>
          <w:szCs w:val="16"/>
        </w:rPr>
        <w:t>unica convocazione</w:t>
      </w:r>
      <w:r w:rsidR="005C3DD6" w:rsidRPr="003E205B">
        <w:rPr>
          <w:rFonts w:ascii="Century Gothic" w:hAnsi="Century Gothic" w:cs="Arial"/>
          <w:sz w:val="16"/>
          <w:szCs w:val="16"/>
        </w:rPr>
        <w:t>,</w:t>
      </w:r>
      <w:r w:rsidR="00227E36">
        <w:rPr>
          <w:rFonts w:ascii="Century Gothic" w:hAnsi="Century Gothic" w:cs="Arial"/>
          <w:sz w:val="16"/>
          <w:szCs w:val="16"/>
        </w:rPr>
        <w:t xml:space="preserve"> </w:t>
      </w:r>
      <w:r w:rsidR="00E83622" w:rsidRPr="003E205B">
        <w:rPr>
          <w:rFonts w:ascii="Century Gothic" w:hAnsi="Century Gothic" w:cs="Arial"/>
          <w:sz w:val="16"/>
          <w:szCs w:val="16"/>
        </w:rPr>
        <w:t>con le modalità e nei termini riportati nell’avviso di convocazione pubblicato sul sito</w:t>
      </w:r>
      <w:r w:rsidR="00E83622" w:rsidRPr="00B41884">
        <w:rPr>
          <w:rFonts w:ascii="Century Gothic" w:hAnsi="Century Gothic" w:cs="Arial"/>
          <w:iCs/>
          <w:sz w:val="16"/>
          <w:szCs w:val="16"/>
        </w:rPr>
        <w:t xml:space="preserve"> internet</w:t>
      </w:r>
      <w:r w:rsidR="00E83622" w:rsidRPr="003E205B">
        <w:rPr>
          <w:rFonts w:ascii="Century Gothic" w:hAnsi="Century Gothic" w:cs="Arial"/>
          <w:i/>
          <w:sz w:val="16"/>
          <w:szCs w:val="16"/>
        </w:rPr>
        <w:t xml:space="preserve"> </w:t>
      </w:r>
      <w:r w:rsidR="00E83622" w:rsidRPr="003E205B">
        <w:rPr>
          <w:rFonts w:ascii="Century Gothic" w:hAnsi="Century Gothic" w:cs="Arial"/>
          <w:sz w:val="16"/>
          <w:szCs w:val="16"/>
        </w:rPr>
        <w:t xml:space="preserve">della società all’indirizzo </w:t>
      </w:r>
      <w:r>
        <w:rPr>
          <w:rFonts w:ascii="Century Gothic" w:hAnsi="Century Gothic" w:cs="Calibri"/>
          <w:sz w:val="16"/>
          <w:szCs w:val="16"/>
        </w:rPr>
        <w:t>www.comerindustries.com</w:t>
      </w:r>
      <w:r w:rsidR="003629DF">
        <w:rPr>
          <w:rFonts w:ascii="Century Gothic" w:hAnsi="Century Gothic" w:cs="Calibri"/>
          <w:sz w:val="16"/>
          <w:szCs w:val="16"/>
        </w:rPr>
        <w:t xml:space="preserve"> nella sezione “</w:t>
      </w:r>
      <w:r>
        <w:rPr>
          <w:rFonts w:ascii="Century Gothic" w:hAnsi="Century Gothic" w:cs="Arial"/>
          <w:sz w:val="16"/>
          <w:szCs w:val="16"/>
        </w:rPr>
        <w:t>Governance/Assemblea dei Soci</w:t>
      </w:r>
      <w:r w:rsidR="003629DF">
        <w:rPr>
          <w:rFonts w:ascii="Century Gothic" w:hAnsi="Century Gothic" w:cs="Arial"/>
          <w:sz w:val="16"/>
          <w:szCs w:val="16"/>
        </w:rPr>
        <w:t>”</w:t>
      </w:r>
      <w:r w:rsidR="005C0FA6">
        <w:rPr>
          <w:rFonts w:ascii="Century Gothic" w:hAnsi="Century Gothic" w:cs="Arial"/>
          <w:sz w:val="16"/>
          <w:szCs w:val="16"/>
        </w:rPr>
        <w:t xml:space="preserve"> </w:t>
      </w:r>
      <w:r w:rsidR="005C3DD6" w:rsidRPr="003E205B">
        <w:rPr>
          <w:rFonts w:ascii="Century Gothic" w:hAnsi="Century Gothic" w:cs="Arial"/>
          <w:sz w:val="16"/>
          <w:szCs w:val="16"/>
        </w:rPr>
        <w:t xml:space="preserve">in data </w:t>
      </w:r>
      <w:r>
        <w:rPr>
          <w:rFonts w:ascii="Century Gothic" w:hAnsi="Century Gothic" w:cs="Calibri"/>
          <w:sz w:val="16"/>
          <w:szCs w:val="16"/>
        </w:rPr>
        <w:t>27 marzo 2025</w:t>
      </w:r>
      <w:r w:rsidR="00CF2A87">
        <w:rPr>
          <w:rFonts w:ascii="Century Gothic" w:hAnsi="Century Gothic" w:cs="Calibri"/>
          <w:sz w:val="16"/>
          <w:szCs w:val="16"/>
        </w:rPr>
        <w:t xml:space="preserve"> </w:t>
      </w:r>
      <w:r>
        <w:rPr>
          <w:rFonts w:ascii="Century Gothic" w:hAnsi="Century Gothic" w:cs="Calibri"/>
          <w:sz w:val="16"/>
          <w:szCs w:val="16"/>
        </w:rPr>
        <w:t>e per estratto sul quotidiano "Il Sole 24 Ore"</w:t>
      </w:r>
      <w:r w:rsidR="005C3DD6" w:rsidRPr="003E205B">
        <w:rPr>
          <w:rFonts w:ascii="Century Gothic" w:hAnsi="Century Gothic" w:cs="Calibri"/>
          <w:sz w:val="16"/>
          <w:szCs w:val="16"/>
        </w:rPr>
        <w:t>.</w:t>
      </w:r>
    </w:p>
    <w:p w14:paraId="519B0165" w14:textId="5C7C90FD" w:rsidR="00E809F4" w:rsidRPr="00F22B0D" w:rsidRDefault="00E809F4" w:rsidP="00D120FB">
      <w:pPr>
        <w:tabs>
          <w:tab w:val="left" w:pos="5280"/>
        </w:tabs>
        <w:jc w:val="both"/>
        <w:outlineLvl w:val="0"/>
        <w:rPr>
          <w:rFonts w:ascii="Century Gothic" w:hAnsi="Century Gothic" w:cs="Calibri"/>
          <w:sz w:val="16"/>
          <w:szCs w:val="16"/>
        </w:rPr>
      </w:pPr>
    </w:p>
    <w:p w14:paraId="519B0166" w14:textId="52A805E2" w:rsidR="00E83622" w:rsidRPr="00F22B0D" w:rsidRDefault="00E83622" w:rsidP="00D120FB">
      <w:pPr>
        <w:tabs>
          <w:tab w:val="left" w:pos="5280"/>
        </w:tabs>
        <w:spacing w:before="60"/>
        <w:jc w:val="both"/>
        <w:outlineLvl w:val="0"/>
        <w:rPr>
          <w:rFonts w:ascii="Century Gothic" w:hAnsi="Century Gothic" w:cs="Arial"/>
          <w:b/>
          <w:bCs/>
          <w:sz w:val="16"/>
          <w:szCs w:val="16"/>
        </w:rPr>
      </w:pPr>
      <w:r w:rsidRPr="00F22B0D">
        <w:rPr>
          <w:rFonts w:ascii="Century Gothic" w:hAnsi="Century Gothic" w:cs="Arial"/>
          <w:b/>
          <w:bCs/>
          <w:sz w:val="16"/>
          <w:szCs w:val="16"/>
        </w:rPr>
        <w:t xml:space="preserve">Il modulo di delega con le relative istruzioni di voto deve pervenire a </w:t>
      </w:r>
      <w:r w:rsidR="000C6655" w:rsidRPr="00F22B0D">
        <w:rPr>
          <w:rFonts w:ascii="Century Gothic" w:hAnsi="Century Gothic" w:cs="Arial"/>
          <w:b/>
          <w:bCs/>
          <w:sz w:val="16"/>
          <w:szCs w:val="16"/>
        </w:rPr>
        <w:t>Monte Titoli</w:t>
      </w:r>
      <w:r w:rsidRPr="00F22B0D">
        <w:rPr>
          <w:rFonts w:ascii="Century Gothic" w:hAnsi="Century Gothic" w:cs="Arial"/>
          <w:b/>
          <w:bCs/>
          <w:sz w:val="16"/>
          <w:szCs w:val="16"/>
        </w:rPr>
        <w:t xml:space="preserve"> entro la fine del secondo giorno di mercato aperto precedente la data fissata per l’Assemblea</w:t>
      </w:r>
      <w:r w:rsidR="00251390" w:rsidRPr="00F22B0D">
        <w:rPr>
          <w:rFonts w:ascii="Century Gothic" w:hAnsi="Century Gothic" w:cs="Arial"/>
          <w:b/>
          <w:bCs/>
          <w:sz w:val="16"/>
          <w:szCs w:val="16"/>
        </w:rPr>
        <w:t xml:space="preserve"> </w:t>
      </w:r>
      <w:r w:rsidR="005C3DD6" w:rsidRPr="00F22B0D">
        <w:rPr>
          <w:rFonts w:ascii="Century Gothic" w:hAnsi="Century Gothic" w:cs="Arial"/>
          <w:b/>
          <w:bCs/>
          <w:sz w:val="16"/>
          <w:szCs w:val="16"/>
        </w:rPr>
        <w:t>ossia</w:t>
      </w:r>
      <w:r w:rsidR="00251390" w:rsidRPr="00F22B0D">
        <w:rPr>
          <w:rFonts w:ascii="Century Gothic" w:hAnsi="Century Gothic" w:cs="Arial"/>
          <w:b/>
          <w:bCs/>
          <w:sz w:val="16"/>
          <w:szCs w:val="16"/>
        </w:rPr>
        <w:t xml:space="preserve"> </w:t>
      </w:r>
      <w:r>
        <w:rPr>
          <w:rFonts w:ascii="Century Gothic" w:hAnsi="Century Gothic" w:cs="Arial"/>
          <w:b/>
          <w:bCs/>
          <w:sz w:val="16"/>
          <w:szCs w:val="16"/>
        </w:rPr>
        <w:t>entro le ore 23:59 del 25 aprile 2025</w:t>
      </w:r>
      <w:r w:rsidRPr="00F22B0D">
        <w:rPr>
          <w:rFonts w:ascii="Century Gothic" w:hAnsi="Century Gothic" w:cs="Arial"/>
          <w:b/>
          <w:bCs/>
          <w:sz w:val="16"/>
          <w:szCs w:val="16"/>
        </w:rPr>
        <w:t>. La delega e le istruzioni di voto possono essere revocate entro lo stesso termine.</w:t>
      </w:r>
    </w:p>
    <w:p w14:paraId="338C040E" w14:textId="77777777" w:rsidR="005D5CAD" w:rsidRPr="00F22B0D" w:rsidRDefault="005D5CAD" w:rsidP="00D120FB">
      <w:pPr>
        <w:tabs>
          <w:tab w:val="left" w:pos="5280"/>
        </w:tabs>
        <w:spacing w:before="60"/>
        <w:jc w:val="both"/>
        <w:outlineLvl w:val="0"/>
        <w:rPr>
          <w:rFonts w:ascii="Century Gothic" w:hAnsi="Century Gothic" w:cs="Arial"/>
          <w:b/>
          <w:sz w:val="16"/>
          <w:szCs w:val="16"/>
        </w:rPr>
      </w:pPr>
    </w:p>
    <w:p w14:paraId="519B0168" w14:textId="58FE5BCA" w:rsidR="004D39AE" w:rsidRPr="00F22B0D" w:rsidRDefault="004D39AE" w:rsidP="00D120FB">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F22B0D">
        <w:rPr>
          <w:rFonts w:ascii="Century Gothic" w:hAnsi="Century Gothic" w:cs="Arial"/>
          <w:b/>
          <w:sz w:val="14"/>
          <w:szCs w:val="14"/>
        </w:rPr>
        <w:t>Dichiarazioni del Rappresentante Designato</w:t>
      </w:r>
      <w:r w:rsidR="00A116B1" w:rsidRPr="00F22B0D">
        <w:rPr>
          <w:rFonts w:ascii="Century Gothic" w:hAnsi="Century Gothic" w:cs="Arial"/>
          <w:b/>
          <w:sz w:val="14"/>
          <w:szCs w:val="14"/>
        </w:rPr>
        <w:t>:</w:t>
      </w:r>
      <w:r w:rsidR="00A116B1"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rende noto di non avere alcun interesse proprio rispetto alle proposte di deliberazione sottoposte al voto. Tuttavia, tenuto conto dei (i) rapporti contrattuali in essere tra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e la Società relativi, in particolare, all’assistenza tecnica in sede assembleare e servizi accessori, al fine di evitare eventuali successive contestazioni connesse alla supposta presenza di circostanze idonee a determinare l’esistenza di un conflitto di interessi di cui all’articolo 135-decies, comma 2, lett. f), del </w:t>
      </w:r>
      <w:r w:rsidR="00A116B1" w:rsidRPr="00F22B0D">
        <w:rPr>
          <w:rFonts w:ascii="Century Gothic" w:hAnsi="Century Gothic" w:cs="Arial"/>
          <w:sz w:val="14"/>
          <w:szCs w:val="14"/>
        </w:rPr>
        <w:t>TUF</w:t>
      </w:r>
      <w:r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0E05919" w14:textId="77777777" w:rsidR="005D5CAD" w:rsidRPr="00F22B0D" w:rsidRDefault="005D5CAD" w:rsidP="00D120FB">
      <w:pPr>
        <w:tabs>
          <w:tab w:val="left" w:pos="5280"/>
        </w:tabs>
        <w:jc w:val="both"/>
        <w:outlineLvl w:val="0"/>
        <w:rPr>
          <w:rFonts w:ascii="Century Gothic" w:hAnsi="Century Gothic" w:cs="Calibri"/>
          <w:b/>
          <w:bCs/>
          <w:iCs/>
          <w:sz w:val="16"/>
          <w:szCs w:val="16"/>
        </w:rPr>
      </w:pPr>
    </w:p>
    <w:p w14:paraId="54C66A01" w14:textId="299C6C33" w:rsidR="005D5CAD" w:rsidRPr="005D5CAD" w:rsidRDefault="00EE3259" w:rsidP="005D5CAD">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 ovvero di proposte individuali di deliberazione, nei termini e con le modalità indicate nell’Avviso di convocazione.</w:t>
      </w: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shd w:val="clear" w:color="auto" w:fill="auto"/>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shd w:val="clear" w:color="auto" w:fill="auto"/>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Email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FFBF828"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79F15AEF" w14:textId="21A3CEA3" w:rsidR="00B22E8F" w:rsidRPr="0051117D" w:rsidRDefault="00B22E8F" w:rsidP="0051117D">
      <w:pPr>
        <w:tabs>
          <w:tab w:val="left" w:pos="3120"/>
          <w:tab w:val="left" w:pos="4200"/>
          <w:tab w:val="left" w:pos="5760"/>
          <w:tab w:val="left" w:pos="8160"/>
        </w:tabs>
        <w:spacing w:line="276" w:lineRule="auto"/>
        <w:jc w:val="both"/>
        <w:rPr>
          <w:rFonts w:ascii="Century Gothic" w:hAnsi="Century Gothic" w:cs="Calibri"/>
          <w:bCs/>
          <w:sz w:val="16"/>
          <w:szCs w:val="16"/>
        </w:rPr>
      </w:pPr>
      <w:r w:rsidRPr="0051117D">
        <w:rPr>
          <w:rFonts w:ascii="Century Gothic" w:hAnsi="Century Gothic" w:cs="Calibri"/>
          <w:b/>
          <w:bCs/>
          <w:sz w:val="16"/>
          <w:szCs w:val="16"/>
        </w:rPr>
        <w:t>DELEGA Monte Titoli S.p.A. a partecipare e votare all’assemblea sopra indicata come da istruzioni allo stesso fornite qui di seguito.</w:t>
      </w:r>
    </w:p>
    <w:p w14:paraId="010DB788" w14:textId="282E5039"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6D1F6BCA" w14:textId="77777777" w:rsidR="00B22E8F" w:rsidRPr="00FC569C" w:rsidRDefault="00B22E8F"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FC569C">
        <w:rPr>
          <w:rFonts w:ascii="Century Gothic" w:hAnsi="Century Gothic" w:cs="Calibri"/>
          <w:bCs/>
          <w:sz w:val="16"/>
          <w:szCs w:val="16"/>
        </w:rPr>
        <w:t>di essere a conoscenza della possibilità che la delega al Rappresentante Designato contenga istruzioni di voto anche solo su alcune delle proposte di deliberazione all’ordine del giorno e che, in tale ipotesi, il voto sarà esercitato per le sole proposte in relazione alle quali siano conferite istruzioni di voto e di aver richiesto all’intermediario depositario la comunicazione per la partecipazione all’Assemblea come sopra indicato;</w:t>
      </w:r>
    </w:p>
    <w:p w14:paraId="2D365CB2" w14:textId="77777777" w:rsidR="00E308BB" w:rsidRPr="00E308BB" w:rsidRDefault="00B22E8F" w:rsidP="0051117D">
      <w:pPr>
        <w:pStyle w:val="Paragrafoelenco"/>
        <w:numPr>
          <w:ilvl w:val="0"/>
          <w:numId w:val="5"/>
        </w:numPr>
        <w:tabs>
          <w:tab w:val="left" w:pos="3120"/>
          <w:tab w:val="left" w:pos="4200"/>
          <w:tab w:val="left" w:pos="5280"/>
          <w:tab w:val="left" w:pos="5760"/>
          <w:tab w:val="left" w:pos="8160"/>
        </w:tabs>
        <w:spacing w:line="276" w:lineRule="auto"/>
        <w:ind w:left="426" w:hanging="284"/>
        <w:jc w:val="both"/>
        <w:outlineLvl w:val="0"/>
        <w:rPr>
          <w:rFonts w:ascii="Century Gothic" w:hAnsi="Century Gothic" w:cs="Calibri"/>
          <w:b/>
          <w:bCs/>
          <w:iCs/>
          <w:color w:val="CC6600"/>
          <w:sz w:val="16"/>
          <w:szCs w:val="16"/>
        </w:rPr>
      </w:pPr>
      <w:r w:rsidRPr="0051117D">
        <w:rPr>
          <w:rFonts w:ascii="Century Gothic" w:eastAsia="CIDFont+F1" w:hAnsi="Century Gothic" w:cs="CIDFont+F1"/>
          <w:bCs/>
          <w:sz w:val="16"/>
          <w:szCs w:val="16"/>
          <w:lang w:eastAsia="en-US"/>
        </w:rPr>
        <w:t>che non sussistono cause di incompatibilità o sospensione all’esercizio del diritto di voto</w:t>
      </w:r>
      <w:r w:rsidRPr="0051117D">
        <w:rPr>
          <w:rFonts w:ascii="Century Gothic" w:hAnsi="Century Gothic" w:cs="Calibri"/>
          <w:bCs/>
          <w:sz w:val="16"/>
          <w:szCs w:val="16"/>
        </w:rPr>
        <w:t>.</w:t>
      </w: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7A08946B" w14:textId="77777777" w:rsidR="006C3FF4" w:rsidRDefault="006C3FF4" w:rsidP="0051117D">
      <w:pPr>
        <w:tabs>
          <w:tab w:val="left" w:pos="3120"/>
          <w:tab w:val="left" w:pos="4200"/>
          <w:tab w:val="left" w:pos="5760"/>
          <w:tab w:val="left" w:pos="8160"/>
        </w:tabs>
        <w:spacing w:line="276" w:lineRule="auto"/>
        <w:jc w:val="both"/>
        <w:rPr>
          <w:rFonts w:ascii="Century Gothic" w:hAnsi="Century Gothic" w:cs="Calibri"/>
          <w:b/>
          <w:bCs/>
          <w:sz w:val="16"/>
          <w:szCs w:val="16"/>
        </w:rPr>
      </w:pP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shd w:val="clear" w:color="auto" w:fill="auto"/>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3604CE">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505D723B" w:rsidR="00D1676F" w:rsidRPr="003625EB" w:rsidRDefault="00F35976" w:rsidP="00D94A31">
            <w:pPr>
              <w:tabs>
                <w:tab w:val="left" w:pos="3120"/>
                <w:tab w:val="left" w:pos="4200"/>
                <w:tab w:val="left" w:pos="5760"/>
                <w:tab w:val="left" w:pos="8160"/>
              </w:tabs>
              <w:ind w:left="-98"/>
              <w:jc w:val="both"/>
              <w:rPr>
                <w:rFonts w:ascii="Century Gothic" w:hAnsi="Century Gothic" w:cs="Calibri"/>
                <w:sz w:val="16"/>
                <w:szCs w:val="16"/>
              </w:rPr>
            </w:pPr>
            <w:r w:rsidRPr="00AF575C">
              <w:rPr>
                <w:rFonts w:ascii="Century Gothic" w:hAnsi="Century Gothic" w:cs="Calibri"/>
                <w:sz w:val="16"/>
                <w:szCs w:val="16"/>
              </w:rPr>
              <w:t xml:space="preserve">delega </w:t>
            </w:r>
            <w:r w:rsidR="000C6655">
              <w:rPr>
                <w:rFonts w:ascii="Century Gothic" w:hAnsi="Century Gothic" w:cs="Calibri"/>
                <w:sz w:val="16"/>
                <w:szCs w:val="16"/>
              </w:rPr>
              <w:t>Monte Titoli</w:t>
            </w:r>
            <w:r w:rsidRPr="00AF575C">
              <w:rPr>
                <w:rFonts w:ascii="Century Gothic" w:hAnsi="Century Gothic" w:cs="Calibri"/>
                <w:sz w:val="16"/>
                <w:szCs w:val="16"/>
              </w:rPr>
              <w:t xml:space="preserve"> a votare secondo le seguenti istruzioni di voto </w:t>
            </w:r>
            <w:r w:rsidRPr="005E6E72">
              <w:rPr>
                <w:rFonts w:ascii="Century Gothic" w:hAnsi="Century Gothic" w:cs="Calibri"/>
                <w:sz w:val="16"/>
                <w:szCs w:val="16"/>
              </w:rPr>
              <w:t>all’</w:t>
            </w:r>
            <w:r w:rsidR="00FA4989" w:rsidRPr="005E6E72">
              <w:rPr>
                <w:rFonts w:ascii="Century Gothic" w:hAnsi="Century Gothic" w:cs="Calibri"/>
                <w:sz w:val="16"/>
                <w:szCs w:val="16"/>
              </w:rPr>
              <w:t>A</w:t>
            </w:r>
            <w:r w:rsidRPr="005E6E72">
              <w:rPr>
                <w:rFonts w:ascii="Century Gothic" w:hAnsi="Century Gothic" w:cs="Calibri"/>
                <w:sz w:val="16"/>
                <w:szCs w:val="16"/>
              </w:rPr>
              <w:t xml:space="preserve">ssemblea </w:t>
            </w:r>
            <w:r>
              <w:rPr>
                <w:rFonts w:ascii="Century Gothic" w:hAnsi="Century Gothic" w:cs="Calibri"/>
                <w:sz w:val="16"/>
                <w:szCs w:val="16"/>
              </w:rPr>
              <w:t>Ordinaria</w:t>
            </w:r>
            <w:r w:rsidR="005C3DD6" w:rsidRPr="00AF575C">
              <w:rPr>
                <w:rFonts w:ascii="Century Gothic" w:hAnsi="Century Gothic" w:cs="Arial"/>
                <w:sz w:val="16"/>
                <w:szCs w:val="16"/>
              </w:rPr>
              <w:t xml:space="preserve"> di </w:t>
            </w:r>
            <w:r>
              <w:rPr>
                <w:rFonts w:ascii="Century Gothic" w:hAnsi="Century Gothic" w:cs="Arial"/>
                <w:sz w:val="16"/>
                <w:szCs w:val="16"/>
              </w:rPr>
              <w:t>Comer Industries</w:t>
            </w:r>
            <w:r w:rsidR="005C3DD6">
              <w:rPr>
                <w:rFonts w:ascii="Century Gothic" w:hAnsi="Century Gothic" w:cs="Arial"/>
                <w:sz w:val="16"/>
                <w:szCs w:val="16"/>
              </w:rPr>
              <w:t xml:space="preserve"> S.p.A., </w:t>
            </w:r>
            <w:r w:rsidR="00201A0D" w:rsidRPr="00AF575C">
              <w:rPr>
                <w:rFonts w:ascii="Century Gothic" w:hAnsi="Century Gothic" w:cs="Arial"/>
                <w:sz w:val="16"/>
                <w:szCs w:val="16"/>
              </w:rPr>
              <w:t>convocata</w:t>
            </w:r>
            <w:r w:rsidR="00E752C5" w:rsidRPr="00AF575C">
              <w:rPr>
                <w:rFonts w:ascii="Century Gothic" w:hAnsi="Century Gothic" w:cs="Arial"/>
                <w:sz w:val="16"/>
                <w:szCs w:val="16"/>
              </w:rPr>
              <w:t xml:space="preserve"> </w:t>
            </w:r>
            <w:r>
              <w:rPr>
                <w:rFonts w:ascii="Century Gothic" w:hAnsi="Century Gothic" w:cs="Arial"/>
                <w:sz w:val="16"/>
                <w:szCs w:val="16"/>
              </w:rPr>
              <w:t>in Reggiolo (RE), Via Magellano, n. 27</w:t>
            </w:r>
            <w:r w:rsidR="005C3DD6">
              <w:rPr>
                <w:rFonts w:ascii="Century Gothic" w:hAnsi="Century Gothic" w:cs="Arial"/>
                <w:sz w:val="16"/>
                <w:szCs w:val="16"/>
              </w:rPr>
              <w:t xml:space="preserve"> </w:t>
            </w:r>
            <w:r w:rsidR="005C3DD6" w:rsidRPr="00277868">
              <w:rPr>
                <w:rFonts w:ascii="Century Gothic" w:hAnsi="Century Gothic" w:cs="Arial"/>
                <w:sz w:val="16"/>
                <w:szCs w:val="16"/>
              </w:rPr>
              <w:t xml:space="preserve">per il </w:t>
            </w:r>
            <w:r>
              <w:rPr>
                <w:rFonts w:ascii="Century Gothic" w:hAnsi="Century Gothic" w:cs="Arial"/>
                <w:sz w:val="16"/>
                <w:szCs w:val="16"/>
              </w:rPr>
              <w:t>giorno 29 aprile 2025 alle ore 09:00</w:t>
            </w:r>
            <w:r w:rsidR="005C3DD6" w:rsidRPr="000E6EC5">
              <w:rPr>
                <w:rFonts w:ascii="Century Gothic" w:hAnsi="Century Gothic" w:cs="Arial"/>
                <w:sz w:val="16"/>
                <w:szCs w:val="16"/>
              </w:rPr>
              <w:t xml:space="preserve"> in </w:t>
            </w:r>
            <w:r>
              <w:rPr>
                <w:rFonts w:ascii="Century Gothic" w:hAnsi="Century Gothic" w:cs="Arial"/>
                <w:sz w:val="16"/>
                <w:szCs w:val="16"/>
              </w:rPr>
              <w:t>unica convocazione</w:t>
            </w:r>
            <w:r w:rsidR="005C3DD6">
              <w:rPr>
                <w:rFonts w:ascii="Century Gothic" w:hAnsi="Century Gothic" w:cs="Arial"/>
                <w:sz w:val="16"/>
                <w:szCs w:val="16"/>
              </w:rPr>
              <w:t>.</w:t>
            </w:r>
          </w:p>
        </w:tc>
      </w:tr>
    </w:tbl>
    <w:p w14:paraId="6D335DEC" w14:textId="07EAD3CD" w:rsidR="00D905DE" w:rsidRDefault="00D905DE">
      <w:pPr>
        <w:rPr>
          <w:rFonts w:ascii="Century Gothic" w:hAnsi="Century Gothic" w:cs="Calibri"/>
          <w:b/>
          <w:bCs/>
          <w:iCs/>
        </w:rPr>
      </w:pPr>
    </w:p>
    <w:p w14:paraId="652F9522" w14:textId="77777777" w:rsidR="00A159A9" w:rsidRDefault="00A159A9">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bookmarkStart w:id="0" w:name="_Hlk39230606"/>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Approvazione del Bilancio di Esercizio chiuso al 31 dicembre 2024, corredato della Relazione del Consiglio di Amministrazione sulla gestione, della Relazione del Collegio Sindacale e della Relazione della Società di Revisione. Presentazione del bilancio consolidato al 31 dicembre 2024, inclusa la rendicontazione consolidata di sostenibilità ai sensi del D. Lgs. n. 125/2024. Deliberazioni inerenti e conseguenti.</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30DE2CB7" w14:textId="77777777" w:rsidR="00BC640C" w:rsidRDefault="00BC640C"/>
    <w:tbl>
      <w:tblPr>
        <w:tblStyle w:val="Grigliatabella"/>
        <w:tblW w:w="0" w:type="auto"/>
        <w:tblLook w:val="04A0" w:firstRow="1" w:lastRow="0" w:firstColumn="1" w:lastColumn="0" w:noHBand="0" w:noVBand="1"/>
      </w:tblPr>
      <w:tblGrid>
        <w:gridCol w:w="5944"/>
        <w:gridCol w:w="2977"/>
        <w:gridCol w:w="2974"/>
        <w:gridCol w:w="2979"/>
      </w:tblGrid>
      <w:tr w:rsidR="00C00B7C" w14:paraId="2BA959DC"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56663FC5"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2 Destinazione del risultato d’esercizio. Deliberazioni inerenti e conseguenti.</w:t>
            </w:r>
          </w:p>
        </w:tc>
      </w:tr>
      <w:tr w:rsidR="00E212A0" w14:paraId="2FCD0DF8"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3AE2B02D" w14:textId="77777777" w:rsidTr="00920C50">
              <w:trPr>
                <w:trHeight w:val="624"/>
              </w:trPr>
              <w:tc>
                <w:tcPr>
                  <w:tcW w:w="3694" w:type="dxa"/>
                  <w:vAlign w:val="center"/>
                </w:tcPr>
                <w:p w14:paraId="1AE918FA"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B6FF04E"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1062D71A"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258D7CE0"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4FC7751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FFC5EA3"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31E315EC"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1DB4D29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FCCC52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3CFEFDA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2F20C908"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5709D4"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7CD0888"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2BA32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689D9E49"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01CE436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60FC2A3E"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44ED8157"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77394192" w14:textId="77777777" w:rsidTr="0002089F">
              <w:trPr>
                <w:trHeight w:val="283"/>
              </w:trPr>
              <w:tc>
                <w:tcPr>
                  <w:tcW w:w="2776" w:type="dxa"/>
                  <w:vAlign w:val="center"/>
                </w:tcPr>
                <w:p w14:paraId="6687B7E7"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7FA6F5D3"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4331A8D9"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632756C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6A957519"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3C1EDAC4" w14:textId="77777777" w:rsidR="00BC640C" w:rsidRDefault="00BC640C"/>
    <w:tbl>
      <w:tblPr>
        <w:tblStyle w:val="Grigliatabella"/>
        <w:tblW w:w="0" w:type="auto"/>
        <w:tblLook w:val="04A0" w:firstRow="1" w:lastRow="0" w:firstColumn="1" w:lastColumn="0" w:noHBand="0" w:noVBand="1"/>
      </w:tblPr>
      <w:tblGrid>
        <w:gridCol w:w="5944"/>
        <w:gridCol w:w="2977"/>
        <w:gridCol w:w="2974"/>
        <w:gridCol w:w="2979"/>
      </w:tblGrid>
      <w:tr w:rsidR="00C00B7C" w14:paraId="5B911580"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06BB53F8"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lastRenderedPageBreak/>
              <w:t>3 Relazione sulla politica in materia di remunerazione e sui compensi corrisposti: approvazione della “prima sezione” in tema di politica in materia di remunerazione ai sensi dell’art. 123-ter, comma 3 - ter, del D.Lgs. n. 58/1998.</w:t>
            </w:r>
          </w:p>
        </w:tc>
      </w:tr>
      <w:tr w:rsidR="00E212A0" w14:paraId="5BD4FEAE"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FCDE94A" w14:textId="77777777" w:rsidTr="00920C50">
              <w:trPr>
                <w:trHeight w:val="624"/>
              </w:trPr>
              <w:tc>
                <w:tcPr>
                  <w:tcW w:w="3694" w:type="dxa"/>
                  <w:vAlign w:val="center"/>
                </w:tcPr>
                <w:p w14:paraId="67F2C97B"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682868CB"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71493046"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397B791A"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7A5BADE4"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0E19D48"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A2B02C2"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0AE556C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F159AED"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1B3E1018"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020BCDBE"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6FC245D"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9E0B037"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215FC6C1"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153B3BBF"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C6FBC6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059B3667"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2E82BA6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17F5F827" w14:textId="77777777" w:rsidTr="0002089F">
              <w:trPr>
                <w:trHeight w:val="283"/>
              </w:trPr>
              <w:tc>
                <w:tcPr>
                  <w:tcW w:w="2776" w:type="dxa"/>
                  <w:vAlign w:val="center"/>
                </w:tcPr>
                <w:p w14:paraId="6834CE1D"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CD41530"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7F3DA66E"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7B26BB8D"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523DA13F"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72589DEC" w14:textId="77777777" w:rsidR="00BC640C" w:rsidRDefault="00BC640C"/>
    <w:tbl>
      <w:tblPr>
        <w:tblStyle w:val="Grigliatabella"/>
        <w:tblW w:w="0" w:type="auto"/>
        <w:tblLook w:val="04A0" w:firstRow="1" w:lastRow="0" w:firstColumn="1" w:lastColumn="0" w:noHBand="0" w:noVBand="1"/>
      </w:tblPr>
      <w:tblGrid>
        <w:gridCol w:w="5944"/>
        <w:gridCol w:w="2977"/>
        <w:gridCol w:w="2974"/>
        <w:gridCol w:w="2979"/>
      </w:tblGrid>
      <w:tr w:rsidR="00C00B7C" w14:paraId="7C835F98"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4CAF4F55"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4 Relazione sulla politica in materia di remunerazione e sui compensi corrisposti: deliberazioni sulla “seconda sezione” della relazione, ai sensi dell’art. 123-ter, comma 6, del D.Lgs. n. 58/1998.</w:t>
            </w:r>
          </w:p>
        </w:tc>
      </w:tr>
      <w:tr w:rsidR="00E212A0" w14:paraId="465DF9F2"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592F0172" w14:textId="77777777" w:rsidTr="00920C50">
              <w:trPr>
                <w:trHeight w:val="624"/>
              </w:trPr>
              <w:tc>
                <w:tcPr>
                  <w:tcW w:w="3694" w:type="dxa"/>
                  <w:vAlign w:val="center"/>
                </w:tcPr>
                <w:p w14:paraId="56F743C0"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66EF0E90"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7C0EA724"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7B574582"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05692EC1"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E1276EC"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F334E9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0A67C39B"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E5BFF8E"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49C7BCB1"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7938C77F"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E9EB2A9"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24A45A1"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7D272FC6"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1E4A8532"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2BE47F32"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77F06532"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5C672CAB"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745C198B" w14:textId="77777777" w:rsidTr="0002089F">
              <w:trPr>
                <w:trHeight w:val="283"/>
              </w:trPr>
              <w:tc>
                <w:tcPr>
                  <w:tcW w:w="2776" w:type="dxa"/>
                  <w:vAlign w:val="center"/>
                </w:tcPr>
                <w:p w14:paraId="7D297F8C"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3C0F1F7C"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2B37BB2E"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1414931A"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0C4CE62E"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6360C08E" w14:textId="77777777" w:rsidR="00BC640C" w:rsidRDefault="00BC640C"/>
    <w:tbl>
      <w:tblPr>
        <w:tblStyle w:val="Grigliatabella"/>
        <w:tblW w:w="0" w:type="auto"/>
        <w:tblLook w:val="04A0" w:firstRow="1" w:lastRow="0" w:firstColumn="1" w:lastColumn="0" w:noHBand="0" w:noVBand="1"/>
      </w:tblPr>
      <w:tblGrid>
        <w:gridCol w:w="5944"/>
        <w:gridCol w:w="2977"/>
        <w:gridCol w:w="2974"/>
        <w:gridCol w:w="2979"/>
      </w:tblGrid>
      <w:tr w:rsidR="00C00B7C" w14:paraId="3D84543C"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11C7EAB8"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5 Autorizzazione all’acquisto e alle disposizioni di azioni proprie, previa revoca, per la parte rimasta ineseguita, della delibera di autorizzazione assunta dall’assemblea dei soci del 23 aprile 2024. Deliberazioni inerenti e conseguenti.</w:t>
            </w:r>
          </w:p>
        </w:tc>
      </w:tr>
      <w:tr w:rsidR="00E212A0" w14:paraId="0F464951"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921B51" w14:textId="77777777" w:rsidTr="00920C50">
              <w:trPr>
                <w:trHeight w:val="624"/>
              </w:trPr>
              <w:tc>
                <w:tcPr>
                  <w:tcW w:w="3694" w:type="dxa"/>
                  <w:vAlign w:val="center"/>
                </w:tcPr>
                <w:p w14:paraId="18A04EE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58FFA3DF"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623E8571"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72EAF0A"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21D7D0E8"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4FE10D1"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6F7629D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101F1286"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330544F"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13165E86"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743CD63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C34E4DD"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5CF3C7D6"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1F5DB9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16776379"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7D2FD186"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2E860734"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66CF23BD"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5E68A818" w14:textId="77777777" w:rsidTr="0002089F">
              <w:trPr>
                <w:trHeight w:val="283"/>
              </w:trPr>
              <w:tc>
                <w:tcPr>
                  <w:tcW w:w="2776" w:type="dxa"/>
                  <w:vAlign w:val="center"/>
                </w:tcPr>
                <w:p w14:paraId="339AFF4C"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5C40E731"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40F221CF"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407E854"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00588CB"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tbl>
      <w:tblPr>
        <w:tblStyle w:val="Grigliatabella"/>
        <w:tblW w:w="5022"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33"/>
        <w:gridCol w:w="664"/>
        <w:gridCol w:w="1668"/>
        <w:gridCol w:w="846"/>
        <w:gridCol w:w="278"/>
        <w:gridCol w:w="562"/>
        <w:gridCol w:w="1674"/>
        <w:gridCol w:w="141"/>
        <w:gridCol w:w="1815"/>
        <w:gridCol w:w="1259"/>
        <w:gridCol w:w="1665"/>
        <w:gridCol w:w="1265"/>
        <w:gridCol w:w="1540"/>
        <w:gridCol w:w="1390"/>
        <w:gridCol w:w="149"/>
      </w:tblGrid>
      <w:tr w:rsidR="003634E2" w14:paraId="7B123977" w14:textId="77777777" w:rsidTr="003634E2">
        <w:trPr>
          <w:gridBefore w:val="1"/>
          <w:gridAfter w:val="1"/>
          <w:wBefore w:w="11" w:type="pct"/>
          <w:wAfter w:w="50" w:type="pct"/>
          <w:trHeight w:val="47"/>
        </w:trPr>
        <w:tc>
          <w:tcPr>
            <w:tcW w:w="1951"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4558BF" w14:textId="77777777" w:rsidR="003634E2" w:rsidRDefault="003634E2" w:rsidP="003634E2">
            <w:pPr>
              <w:tabs>
                <w:tab w:val="left" w:pos="3120"/>
                <w:tab w:val="left" w:pos="4200"/>
                <w:tab w:val="left" w:pos="5760"/>
                <w:tab w:val="left" w:pos="8160"/>
              </w:tabs>
              <w:ind w:left="448" w:hanging="448"/>
              <w:rPr>
                <w:rFonts w:ascii="Century Gothic" w:hAnsi="Century Gothic" w:cs="Calibri"/>
                <w:b/>
                <w:sz w:val="18"/>
                <w:szCs w:val="18"/>
              </w:rPr>
            </w:pPr>
            <w:r w:rsidRPr="001C7ACC">
              <w:rPr>
                <w:rFonts w:ascii="Century Gothic" w:hAnsi="Century Gothic" w:cs="Calibri"/>
                <w:b/>
                <w:sz w:val="18"/>
                <w:szCs w:val="18"/>
              </w:rPr>
              <w:lastRenderedPageBreak/>
              <w:t>Azione di responsabilità</w:t>
            </w:r>
          </w:p>
          <w:p w14:paraId="27E62038" w14:textId="64661520" w:rsidR="003634E2" w:rsidRPr="00FD6F69" w:rsidRDefault="003634E2" w:rsidP="003634E2">
            <w:pPr>
              <w:tabs>
                <w:tab w:val="left" w:pos="3120"/>
                <w:tab w:val="left" w:pos="4200"/>
                <w:tab w:val="left" w:pos="5760"/>
                <w:tab w:val="left" w:pos="8160"/>
              </w:tabs>
              <w:rPr>
                <w:rFonts w:ascii="Century Gothic" w:hAnsi="Century Gothic"/>
                <w:b/>
                <w:bCs/>
                <w:i/>
                <w:iCs/>
                <w:sz w:val="18"/>
                <w:szCs w:val="18"/>
              </w:rPr>
            </w:pPr>
            <w:r w:rsidRPr="00FD6F69">
              <w:rPr>
                <w:rFonts w:ascii="Century Gothic" w:hAnsi="Century Gothic" w:cs="Calibri"/>
                <w:i/>
                <w:iCs/>
                <w:sz w:val="16"/>
                <w:szCs w:val="16"/>
              </w:rPr>
              <w:t>In caso di votazione sull’azione di responsabilità proposta ai sensi dell’art. 2393, comma 2, del codice civile da azionisti in occasione dell’approvazione del bilancio, il/la sottoscritto/a delega il Rappresentante Designato a votare secondo la seguente indicazione</w:t>
            </w: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Grigliatabella"/>
              <w:tblW w:w="0" w:type="auto"/>
              <w:tblLayout w:type="fixed"/>
              <w:tblLook w:val="04A0" w:firstRow="1" w:lastRow="0" w:firstColumn="1" w:lastColumn="0" w:noHBand="0" w:noVBand="1"/>
            </w:tblPr>
            <w:tblGrid>
              <w:gridCol w:w="2776"/>
            </w:tblGrid>
            <w:tr w:rsidR="003634E2" w14:paraId="7371011D" w14:textId="77777777" w:rsidTr="00087847">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79E6AB8" w14:textId="77777777" w:rsidR="003634E2" w:rsidRDefault="003634E2" w:rsidP="003634E2">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426ED1F8" w14:textId="2D4BFFBB" w:rsidR="003634E2" w:rsidRPr="00A032D2" w:rsidRDefault="003634E2" w:rsidP="003634E2">
            <w:pPr>
              <w:tabs>
                <w:tab w:val="left" w:pos="3120"/>
                <w:tab w:val="left" w:pos="4200"/>
                <w:tab w:val="left" w:pos="5760"/>
                <w:tab w:val="left" w:pos="8160"/>
              </w:tabs>
              <w:ind w:left="448" w:hanging="448"/>
              <w:jc w:val="center"/>
              <w:rPr>
                <w:rFonts w:ascii="Century Gothic" w:hAnsi="Century Gothic"/>
                <w:b/>
                <w:bCs/>
                <w:color w:val="FFFFFF" w:themeColor="background1"/>
                <w:sz w:val="18"/>
                <w:szCs w:val="18"/>
              </w:rPr>
            </w:pPr>
          </w:p>
        </w:tc>
        <w:tc>
          <w:tcPr>
            <w:tcW w:w="9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Grigliatabella"/>
              <w:tblW w:w="0" w:type="auto"/>
              <w:tblLayout w:type="fixed"/>
              <w:tblLook w:val="04A0" w:firstRow="1" w:lastRow="0" w:firstColumn="1" w:lastColumn="0" w:noHBand="0" w:noVBand="1"/>
            </w:tblPr>
            <w:tblGrid>
              <w:gridCol w:w="2776"/>
            </w:tblGrid>
            <w:tr w:rsidR="003634E2" w14:paraId="6B6CAEE5" w14:textId="77777777" w:rsidTr="00087847">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0F1E861" w14:textId="77777777" w:rsidR="003634E2" w:rsidRDefault="003634E2" w:rsidP="003634E2">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3079F7D4" w14:textId="5144A16E" w:rsidR="003634E2" w:rsidRPr="00A032D2" w:rsidRDefault="003634E2" w:rsidP="003634E2">
            <w:pPr>
              <w:tabs>
                <w:tab w:val="left" w:pos="3120"/>
                <w:tab w:val="left" w:pos="4200"/>
                <w:tab w:val="left" w:pos="5760"/>
                <w:tab w:val="left" w:pos="8160"/>
              </w:tabs>
              <w:ind w:left="448" w:hanging="448"/>
              <w:jc w:val="center"/>
              <w:rPr>
                <w:rFonts w:ascii="Century Gothic" w:hAnsi="Century Gothic"/>
                <w:b/>
                <w:bCs/>
                <w:color w:val="FFFFFF" w:themeColor="background1"/>
                <w:sz w:val="18"/>
                <w:szCs w:val="18"/>
              </w:rPr>
            </w:pPr>
          </w:p>
        </w:tc>
        <w:tc>
          <w:tcPr>
            <w:tcW w:w="9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Grigliatabella"/>
              <w:tblW w:w="0" w:type="auto"/>
              <w:tblLayout w:type="fixed"/>
              <w:tblLook w:val="04A0" w:firstRow="1" w:lastRow="0" w:firstColumn="1" w:lastColumn="0" w:noHBand="0" w:noVBand="1"/>
            </w:tblPr>
            <w:tblGrid>
              <w:gridCol w:w="2776"/>
            </w:tblGrid>
            <w:tr w:rsidR="003634E2" w14:paraId="6EA70D33" w14:textId="77777777" w:rsidTr="00087847">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867BC13" w14:textId="77777777" w:rsidR="003634E2" w:rsidRDefault="003634E2" w:rsidP="003634E2">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52254699" w14:textId="437E8958" w:rsidR="003634E2" w:rsidRPr="00A032D2" w:rsidRDefault="003634E2" w:rsidP="003634E2">
            <w:pPr>
              <w:tabs>
                <w:tab w:val="left" w:pos="3120"/>
                <w:tab w:val="left" w:pos="4200"/>
                <w:tab w:val="left" w:pos="5760"/>
                <w:tab w:val="left" w:pos="8160"/>
              </w:tabs>
              <w:ind w:left="448" w:hanging="448"/>
              <w:jc w:val="center"/>
              <w:rPr>
                <w:rFonts w:ascii="Century Gothic" w:hAnsi="Century Gothic"/>
                <w:b/>
                <w:bCs/>
                <w:color w:val="FFFFFF" w:themeColor="background1"/>
                <w:sz w:val="18"/>
                <w:szCs w:val="18"/>
              </w:rPr>
            </w:pPr>
          </w:p>
        </w:tc>
      </w:tr>
      <w:tr w:rsidR="0032148C" w:rsidRPr="0072767D" w14:paraId="7D5F5574" w14:textId="77777777" w:rsidTr="00363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PrEx>
        <w:trPr>
          <w:trHeight w:val="758"/>
        </w:trPr>
        <w:tc>
          <w:tcPr>
            <w:tcW w:w="791" w:type="pct"/>
            <w:gridSpan w:val="3"/>
            <w:tcBorders>
              <w:top w:val="nil"/>
              <w:left w:val="nil"/>
              <w:bottom w:val="nil"/>
              <w:right w:val="nil"/>
            </w:tcBorders>
            <w:vAlign w:val="center"/>
          </w:tcPr>
          <w:p w14:paraId="48EF5D5C" w14:textId="2989A147" w:rsidR="0032148C" w:rsidRPr="004B6409" w:rsidRDefault="0032148C" w:rsidP="0002089F">
            <w:pPr>
              <w:tabs>
                <w:tab w:val="left" w:pos="3120"/>
                <w:tab w:val="left" w:pos="4200"/>
                <w:tab w:val="left" w:pos="5760"/>
                <w:tab w:val="left" w:pos="8160"/>
              </w:tabs>
              <w:ind w:left="-112"/>
              <w:rPr>
                <w:rFonts w:ascii="Century Gothic" w:hAnsi="Century Gothic"/>
                <w:bCs/>
                <w:i/>
                <w:color w:val="A6A6A6" w:themeColor="background1" w:themeShade="A6"/>
                <w:sz w:val="18"/>
                <w:szCs w:val="18"/>
              </w:rPr>
            </w:pPr>
          </w:p>
        </w:tc>
        <w:tc>
          <w:tcPr>
            <w:tcW w:w="564" w:type="pct"/>
            <w:gridSpan w:val="3"/>
            <w:tcBorders>
              <w:top w:val="nil"/>
              <w:left w:val="nil"/>
              <w:bottom w:val="nil"/>
              <w:right w:val="nil"/>
            </w:tcBorders>
            <w:vAlign w:val="center"/>
          </w:tcPr>
          <w:p w14:paraId="21DD7122"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c>
          <w:tcPr>
            <w:tcW w:w="560" w:type="pct"/>
            <w:tcBorders>
              <w:top w:val="nil"/>
              <w:left w:val="nil"/>
              <w:bottom w:val="nil"/>
              <w:right w:val="nil"/>
            </w:tcBorders>
            <w:vAlign w:val="center"/>
          </w:tcPr>
          <w:p w14:paraId="4749EF9B"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c>
          <w:tcPr>
            <w:tcW w:w="2570" w:type="pct"/>
            <w:gridSpan w:val="6"/>
            <w:tcBorders>
              <w:top w:val="nil"/>
              <w:left w:val="nil"/>
              <w:bottom w:val="nil"/>
              <w:right w:val="nil"/>
            </w:tcBorders>
            <w:vAlign w:val="center"/>
          </w:tcPr>
          <w:p w14:paraId="7A79E75F"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c>
          <w:tcPr>
            <w:tcW w:w="515" w:type="pct"/>
            <w:gridSpan w:val="2"/>
            <w:tcBorders>
              <w:top w:val="nil"/>
              <w:left w:val="nil"/>
              <w:bottom w:val="nil"/>
              <w:right w:val="nil"/>
            </w:tcBorders>
            <w:vAlign w:val="center"/>
          </w:tcPr>
          <w:p w14:paraId="31AE0E17"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r>
      <w:tr w:rsidR="0032148C" w:rsidRPr="0072767D" w14:paraId="440C1AA4" w14:textId="77777777" w:rsidTr="00363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PrEx>
        <w:trPr>
          <w:trHeight w:val="113"/>
        </w:trPr>
        <w:tc>
          <w:tcPr>
            <w:tcW w:w="791" w:type="pct"/>
            <w:gridSpan w:val="3"/>
            <w:tcBorders>
              <w:top w:val="nil"/>
              <w:left w:val="nil"/>
              <w:bottom w:val="nil"/>
              <w:right w:val="nil"/>
            </w:tcBorders>
            <w:vAlign w:val="center"/>
          </w:tcPr>
          <w:p w14:paraId="0A1EA4E0" w14:textId="2FC22006" w:rsidR="0032148C" w:rsidRPr="0032148C" w:rsidRDefault="0032148C" w:rsidP="00C41FDC">
            <w:pPr>
              <w:tabs>
                <w:tab w:val="left" w:pos="3120"/>
                <w:tab w:val="left" w:pos="4200"/>
                <w:tab w:val="left" w:pos="5760"/>
                <w:tab w:val="left" w:pos="8160"/>
              </w:tabs>
              <w:ind w:left="90"/>
              <w:rPr>
                <w:rFonts w:ascii="Century Gothic" w:hAnsi="Century Gothic"/>
                <w:bCs/>
                <w:i/>
                <w:color w:val="A6A6A6" w:themeColor="background1" w:themeShade="A6"/>
                <w:sz w:val="18"/>
                <w:szCs w:val="18"/>
              </w:rPr>
            </w:pPr>
            <w:r w:rsidRPr="00DB029F">
              <w:rPr>
                <w:rFonts w:ascii="Century Gothic" w:hAnsi="Century Gothic"/>
                <w:i/>
                <w:smallCaps/>
                <w:color w:val="00682F"/>
                <w:sz w:val="28"/>
                <w:szCs w:val="28"/>
              </w:rPr>
              <w:sym w:font="Wingdings 2" w:char="F045"/>
            </w:r>
          </w:p>
        </w:tc>
        <w:tc>
          <w:tcPr>
            <w:tcW w:w="564" w:type="pct"/>
            <w:gridSpan w:val="3"/>
            <w:tcBorders>
              <w:top w:val="nil"/>
              <w:left w:val="nil"/>
              <w:bottom w:val="nil"/>
              <w:right w:val="nil"/>
            </w:tcBorders>
            <w:vAlign w:val="center"/>
          </w:tcPr>
          <w:p w14:paraId="54A7D494"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c>
          <w:tcPr>
            <w:tcW w:w="560" w:type="pct"/>
            <w:tcBorders>
              <w:top w:val="nil"/>
              <w:left w:val="nil"/>
              <w:bottom w:val="nil"/>
              <w:right w:val="nil"/>
            </w:tcBorders>
            <w:vAlign w:val="center"/>
          </w:tcPr>
          <w:p w14:paraId="45931C3D"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c>
          <w:tcPr>
            <w:tcW w:w="2570" w:type="pct"/>
            <w:gridSpan w:val="6"/>
            <w:tcBorders>
              <w:top w:val="nil"/>
              <w:left w:val="nil"/>
              <w:bottom w:val="nil"/>
              <w:right w:val="nil"/>
            </w:tcBorders>
            <w:vAlign w:val="center"/>
          </w:tcPr>
          <w:p w14:paraId="37AF2E45"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c>
          <w:tcPr>
            <w:tcW w:w="515" w:type="pct"/>
            <w:gridSpan w:val="2"/>
            <w:tcBorders>
              <w:top w:val="nil"/>
              <w:left w:val="nil"/>
              <w:bottom w:val="nil"/>
              <w:right w:val="nil"/>
            </w:tcBorders>
            <w:vAlign w:val="center"/>
          </w:tcPr>
          <w:p w14:paraId="568EEC4D"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r>
      <w:bookmarkEnd w:id="0"/>
      <w:tr w:rsidR="0032148C" w:rsidRPr="00DB2DDD" w14:paraId="7FD2D93E" w14:textId="77777777" w:rsidTr="00363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4"/>
          <w:wAfter w:w="1453" w:type="pct"/>
          <w:trHeight w:val="262"/>
        </w:trPr>
        <w:tc>
          <w:tcPr>
            <w:tcW w:w="233" w:type="pct"/>
            <w:gridSpan w:val="2"/>
            <w:tcBorders>
              <w:top w:val="nil"/>
              <w:left w:val="nil"/>
              <w:bottom w:val="nil"/>
              <w:right w:val="nil"/>
            </w:tcBorders>
          </w:tcPr>
          <w:p w14:paraId="23ADF6C2" w14:textId="77777777" w:rsidR="0032148C" w:rsidRPr="000815BE" w:rsidRDefault="0032148C" w:rsidP="0002089F">
            <w:pPr>
              <w:tabs>
                <w:tab w:val="left" w:pos="3120"/>
                <w:tab w:val="left" w:pos="4200"/>
                <w:tab w:val="left" w:pos="5760"/>
                <w:tab w:val="left" w:pos="8160"/>
              </w:tabs>
              <w:ind w:left="90"/>
              <w:rPr>
                <w:rFonts w:ascii="Century Gothic" w:hAnsi="Century Gothic"/>
                <w:i/>
                <w:color w:val="008000"/>
                <w:sz w:val="16"/>
                <w:szCs w:val="16"/>
              </w:rPr>
            </w:pPr>
          </w:p>
        </w:tc>
        <w:tc>
          <w:tcPr>
            <w:tcW w:w="841" w:type="pct"/>
            <w:gridSpan w:val="2"/>
            <w:tcBorders>
              <w:left w:val="nil"/>
              <w:bottom w:val="nil"/>
              <w:right w:val="nil"/>
            </w:tcBorders>
            <w:vAlign w:val="center"/>
          </w:tcPr>
          <w:p w14:paraId="2B97C62C" w14:textId="0C673E97" w:rsidR="0032148C"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32148C">
              <w:rPr>
                <w:rFonts w:ascii="Century Gothic" w:hAnsi="Century Gothic"/>
                <w:i/>
                <w:color w:val="008000"/>
                <w:sz w:val="16"/>
                <w:szCs w:val="16"/>
              </w:rPr>
              <w:t xml:space="preserve"> </w:t>
            </w:r>
            <w:r w:rsidR="0032148C" w:rsidRPr="000815BE">
              <w:rPr>
                <w:rFonts w:ascii="Century Gothic" w:hAnsi="Century Gothic"/>
                <w:i/>
                <w:color w:val="008000"/>
                <w:sz w:val="16"/>
                <w:szCs w:val="16"/>
              </w:rPr>
              <w:t>(Luogo e Data)</w:t>
            </w:r>
            <w:r w:rsidR="0032148C" w:rsidRPr="000815BE">
              <w:rPr>
                <w:rFonts w:ascii="Century Gothic" w:hAnsi="Century Gothic"/>
                <w:i/>
                <w:color w:val="008000"/>
                <w:sz w:val="16"/>
                <w:szCs w:val="16"/>
              </w:rPr>
              <w:tab/>
            </w:r>
          </w:p>
        </w:tc>
        <w:tc>
          <w:tcPr>
            <w:tcW w:w="93" w:type="pct"/>
            <w:tcBorders>
              <w:top w:val="nil"/>
              <w:left w:val="nil"/>
              <w:bottom w:val="nil"/>
              <w:right w:val="nil"/>
            </w:tcBorders>
            <w:vAlign w:val="center"/>
          </w:tcPr>
          <w:p w14:paraId="789A3EDA" w14:textId="77777777" w:rsidR="0032148C" w:rsidRPr="000815BE" w:rsidRDefault="0032148C"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1402" w:type="pct"/>
            <w:gridSpan w:val="4"/>
            <w:tcBorders>
              <w:left w:val="nil"/>
              <w:bottom w:val="nil"/>
              <w:right w:val="nil"/>
            </w:tcBorders>
            <w:vAlign w:val="center"/>
          </w:tcPr>
          <w:p w14:paraId="506A2C3A" w14:textId="6E08D75E" w:rsidR="0032148C"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32148C" w:rsidRPr="000815BE">
              <w:rPr>
                <w:rFonts w:ascii="Century Gothic" w:hAnsi="Century Gothic"/>
                <w:i/>
                <w:smallCaps/>
                <w:color w:val="008000"/>
                <w:sz w:val="16"/>
                <w:szCs w:val="16"/>
              </w:rPr>
              <w:t>(</w:t>
            </w:r>
            <w:r w:rsidR="0032148C" w:rsidRPr="000815BE">
              <w:rPr>
                <w:rFonts w:ascii="Arial Black" w:hAnsi="Arial Black" w:cs="Aharoni"/>
                <w:i/>
                <w:color w:val="008000"/>
                <w:sz w:val="16"/>
                <w:szCs w:val="16"/>
              </w:rPr>
              <w:t>Firmatario della delega)</w:t>
            </w:r>
            <w:r w:rsidR="0032148C" w:rsidRPr="000815BE">
              <w:rPr>
                <w:rFonts w:ascii="Arial Black" w:hAnsi="Arial Black" w:cs="Aharoni"/>
                <w:i/>
                <w:smallCaps/>
                <w:color w:val="008000"/>
                <w:sz w:val="16"/>
                <w:szCs w:val="16"/>
              </w:rPr>
              <w:t xml:space="preserve"> </w:t>
            </w:r>
          </w:p>
        </w:tc>
        <w:tc>
          <w:tcPr>
            <w:tcW w:w="978" w:type="pct"/>
            <w:gridSpan w:val="2"/>
            <w:tcBorders>
              <w:top w:val="nil"/>
              <w:left w:val="nil"/>
              <w:bottom w:val="nil"/>
              <w:right w:val="nil"/>
            </w:tcBorders>
            <w:vAlign w:val="center"/>
          </w:tcPr>
          <w:p w14:paraId="142F90CE" w14:textId="77777777" w:rsidR="0032148C" w:rsidRPr="00DB2DDD" w:rsidRDefault="0032148C" w:rsidP="0002089F">
            <w:pPr>
              <w:ind w:left="90" w:right="11"/>
              <w:rPr>
                <w:rFonts w:ascii="Century Gothic" w:hAnsi="Century Gothic"/>
                <w:i/>
                <w:sz w:val="12"/>
                <w:szCs w:val="12"/>
              </w:rPr>
            </w:pPr>
          </w:p>
        </w:tc>
      </w:tr>
    </w:tbl>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shd w:val="clear" w:color="auto" w:fill="auto"/>
          </w:tcPr>
          <w:p w14:paraId="519B0343" w14:textId="4CA188B1" w:rsidR="00C46C28" w:rsidRPr="00E66F1F" w:rsidRDefault="00C46C28" w:rsidP="00C46C28">
            <w:pPr>
              <w:pStyle w:val="Paragrafoelenco"/>
              <w:ind w:left="0"/>
              <w:jc w:val="both"/>
              <w:rPr>
                <w:rFonts w:ascii="Century Gothic" w:hAnsi="Century Gothic"/>
                <w:b/>
                <w:sz w:val="16"/>
                <w:szCs w:val="16"/>
                <w:u w:val="single"/>
              </w:rPr>
            </w:pPr>
            <w:r w:rsidRPr="00E66F1F">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E66F1F">
              <w:rPr>
                <w:rFonts w:ascii="Century Gothic" w:hAnsi="Century Gothic"/>
                <w:b/>
                <w:i/>
                <w:sz w:val="16"/>
                <w:szCs w:val="16"/>
                <w:u w:val="single"/>
              </w:rPr>
              <w:t>sexies</w:t>
            </w:r>
            <w:r w:rsidRPr="00E66F1F">
              <w:rPr>
                <w:rFonts w:ascii="Century Gothic" w:hAnsi="Century Gothic"/>
                <w:b/>
                <w:sz w:val="16"/>
                <w:szCs w:val="16"/>
                <w:u w:val="single"/>
              </w:rPr>
              <w:t xml:space="preserve">, </w:t>
            </w:r>
            <w:proofErr w:type="spellStart"/>
            <w:r w:rsidRPr="00E66F1F">
              <w:rPr>
                <w:rFonts w:ascii="Century Gothic" w:hAnsi="Century Gothic"/>
                <w:b/>
                <w:sz w:val="16"/>
                <w:szCs w:val="16"/>
                <w:u w:val="single"/>
              </w:rPr>
              <w:t>D.Lgs.</w:t>
            </w:r>
            <w:proofErr w:type="spellEnd"/>
            <w:r w:rsidRPr="00E66F1F">
              <w:rPr>
                <w:rFonts w:ascii="Century Gothic" w:hAnsi="Century Gothic"/>
                <w:b/>
                <w:sz w:val="16"/>
                <w:szCs w:val="16"/>
                <w:u w:val="single"/>
              </w:rPr>
              <w:t xml:space="preserve"> 58/1998)</w:t>
            </w:r>
          </w:p>
          <w:p w14:paraId="519B0344"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5"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519B0346"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della Comunicazione per la partecipazione all’Assemblea rilasciata dall’intermediario depositario, a richiesta dell’avente diritto al voto.</w:t>
            </w:r>
          </w:p>
          <w:p w14:paraId="2E1231CD" w14:textId="77777777" w:rsidR="00E1446B" w:rsidRPr="00E66F1F" w:rsidRDefault="00E1446B" w:rsidP="007D39A4">
            <w:pPr>
              <w:pStyle w:val="Paragrafoelenco"/>
              <w:numPr>
                <w:ilvl w:val="0"/>
                <w:numId w:val="1"/>
              </w:numPr>
              <w:spacing w:line="276" w:lineRule="auto"/>
              <w:ind w:left="284" w:hanging="284"/>
              <w:contextualSpacing w:val="0"/>
              <w:rPr>
                <w:rFonts w:ascii="Century Gothic" w:hAnsi="Century Gothic" w:cs="Calibri"/>
                <w:sz w:val="16"/>
                <w:szCs w:val="16"/>
              </w:rPr>
            </w:pPr>
            <w:r w:rsidRPr="00E66F1F">
              <w:rPr>
                <w:rFonts w:ascii="Century Gothic" w:hAnsi="Century Gothic" w:cs="Calibri"/>
                <w:sz w:val="16"/>
                <w:szCs w:val="16"/>
              </w:rPr>
              <w:t xml:space="preserve">Riportare </w:t>
            </w:r>
            <w:r w:rsidRPr="00E66F1F">
              <w:rPr>
                <w:rFonts w:ascii="Century Gothic" w:hAnsi="Century Gothic"/>
                <w:sz w:val="16"/>
                <w:szCs w:val="16"/>
              </w:rPr>
              <w:t>nome e cognome/denominazione del titolare del diritto di voto (e del firmatario del Modulo di delega e delle istruzioni di voto, se diverso)</w:t>
            </w:r>
            <w:r w:rsidRPr="00E66F1F">
              <w:rPr>
                <w:rFonts w:ascii="Century Gothic" w:hAnsi="Century Gothic" w:cs="Calibri"/>
                <w:sz w:val="16"/>
                <w:szCs w:val="16"/>
              </w:rPr>
              <w:t>.</w:t>
            </w:r>
          </w:p>
          <w:p w14:paraId="519B0347" w14:textId="77777777"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Ai sensi dell’articolo 135-</w:t>
            </w:r>
            <w:r w:rsidRPr="00E66F1F">
              <w:rPr>
                <w:rFonts w:ascii="Century Gothic" w:hAnsi="Century Gothic" w:cs="Calibri"/>
                <w:i/>
                <w:sz w:val="16"/>
                <w:szCs w:val="16"/>
              </w:rPr>
              <w:t>undecies</w:t>
            </w:r>
            <w:r w:rsidRPr="00E66F1F">
              <w:rPr>
                <w:rFonts w:ascii="Century Gothic" w:hAnsi="Century Gothic" w:cs="Calibri"/>
                <w:sz w:val="16"/>
                <w:szCs w:val="16"/>
              </w:rPr>
              <w:t xml:space="preserve">, comma 3, TUF,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 </w:t>
            </w:r>
          </w:p>
          <w:p w14:paraId="519B0349" w14:textId="003D6216"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 xml:space="preserve">Con riferimento a ciascun punto all'ordine del giorno, ove si verifichino </w:t>
            </w:r>
            <w:r w:rsidRPr="00E66F1F">
              <w:rPr>
                <w:rFonts w:ascii="Century Gothic" w:hAnsi="Century Gothic" w:cs="Calibri"/>
                <w:sz w:val="16"/>
                <w:szCs w:val="16"/>
                <w:u w:val="single"/>
              </w:rPr>
              <w:t xml:space="preserve">circostanze di rilievo, ignote all’atto del rilascio della delega </w:t>
            </w:r>
            <w:r w:rsidRPr="00E66F1F">
              <w:rPr>
                <w:rFonts w:ascii="Century Gothic" w:hAnsi="Century Gothic"/>
                <w:bCs/>
                <w:sz w:val="16"/>
                <w:szCs w:val="16"/>
              </w:rPr>
              <w:t>(ad esempio, mancata presentazione di proposte da parte del Consiglio di Amministrazione o da parte del proponente indicato dal delegante nei termini di legge e pubblicata dalla Società)</w:t>
            </w:r>
            <w:r w:rsidRPr="00E66F1F">
              <w:rPr>
                <w:rFonts w:ascii="Century Gothic" w:hAnsi="Century Gothic" w:cs="Calibri"/>
                <w:sz w:val="16"/>
                <w:szCs w:val="16"/>
              </w:rPr>
              <w:t xml:space="preserve">, ovvero si verifichino </w:t>
            </w:r>
            <w:r w:rsidRPr="00E66F1F">
              <w:rPr>
                <w:rFonts w:ascii="Century Gothic" w:hAnsi="Century Gothic" w:cs="Calibri"/>
                <w:sz w:val="16"/>
                <w:szCs w:val="16"/>
                <w:u w:val="single"/>
              </w:rPr>
              <w:t>modifiche o integrazioni delle proposte di deliberazione sottoposte</w:t>
            </w:r>
            <w:r w:rsidRPr="00E66F1F">
              <w:rPr>
                <w:rFonts w:ascii="Century Gothic" w:hAnsi="Century Gothic" w:cs="Calibri"/>
                <w:sz w:val="16"/>
                <w:szCs w:val="16"/>
              </w:rPr>
              <w:t xml:space="preserv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w:t>
            </w:r>
            <w:r w:rsidR="000C6655" w:rsidRPr="00E66F1F">
              <w:rPr>
                <w:rFonts w:ascii="Century Gothic" w:hAnsi="Century Gothic" w:cs="Calibri"/>
                <w:sz w:val="16"/>
                <w:szCs w:val="16"/>
              </w:rPr>
              <w:t>Monte Titoli</w:t>
            </w:r>
            <w:r w:rsidRPr="00E66F1F">
              <w:rPr>
                <w:rFonts w:ascii="Century Gothic" w:hAnsi="Century Gothic" w:cs="Calibri"/>
                <w:sz w:val="16"/>
                <w:szCs w:val="16"/>
              </w:rPr>
              <w:t xml:space="preserve"> si dichiarerà astenuto per tali argomenti.</w:t>
            </w:r>
            <w:r w:rsidRPr="00E66F1F">
              <w:rPr>
                <w:rFonts w:ascii="Century Gothic" w:hAnsi="Century Gothic" w:cs="Calibri"/>
                <w:sz w:val="16"/>
                <w:szCs w:val="16"/>
                <w:u w:val="single"/>
              </w:rPr>
              <w:t xml:space="preserve"> </w:t>
            </w:r>
          </w:p>
          <w:p w14:paraId="519B034A"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B"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r w:rsidRPr="00E66F1F">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519B034C"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D" w14:textId="19D11342" w:rsidR="00E33923" w:rsidRPr="00E66F1F" w:rsidRDefault="00E33923" w:rsidP="00E05613">
            <w:pPr>
              <w:spacing w:line="276" w:lineRule="auto"/>
              <w:jc w:val="both"/>
              <w:rPr>
                <w:rFonts w:ascii="Century Gothic" w:hAnsi="Century Gothic" w:cs="Calibri"/>
                <w:sz w:val="16"/>
                <w:szCs w:val="16"/>
              </w:rPr>
            </w:pPr>
            <w:r w:rsidRPr="00F9591A">
              <w:rPr>
                <w:rFonts w:ascii="Century Gothic" w:hAnsi="Century Gothic" w:cs="Calibri"/>
                <w:b/>
                <w:bCs/>
                <w:sz w:val="16"/>
                <w:szCs w:val="16"/>
              </w:rPr>
              <w:t xml:space="preserve">Il modulo di delega con le relative istruzioni di voto deve pervenire, in originale, a </w:t>
            </w:r>
            <w:r w:rsidR="000C6655" w:rsidRPr="00F9591A">
              <w:rPr>
                <w:rFonts w:ascii="Century Gothic" w:hAnsi="Century Gothic" w:cs="Calibri"/>
                <w:b/>
                <w:bCs/>
                <w:sz w:val="16"/>
                <w:szCs w:val="16"/>
              </w:rPr>
              <w:t>Monte Titoli</w:t>
            </w:r>
            <w:r w:rsidRPr="00F9591A">
              <w:rPr>
                <w:rFonts w:ascii="Century Gothic" w:hAnsi="Century Gothic" w:cs="Calibri"/>
                <w:b/>
                <w:bCs/>
                <w:sz w:val="16"/>
                <w:szCs w:val="16"/>
              </w:rPr>
              <w:t xml:space="preserve"> entro la fine del secondo giorno di mercato aperto precedente la data fissata per l’Assemblea, ossia</w:t>
            </w:r>
            <w:r w:rsidR="00D15447" w:rsidRPr="00F9591A">
              <w:rPr>
                <w:rFonts w:ascii="Century Gothic" w:hAnsi="Century Gothic" w:cs="Calibri"/>
                <w:b/>
                <w:bCs/>
                <w:sz w:val="16"/>
                <w:szCs w:val="16"/>
              </w:rPr>
              <w:t xml:space="preserve"> </w:t>
            </w:r>
            <w:r>
              <w:rPr>
                <w:rFonts w:ascii="Century Gothic" w:hAnsi="Century Gothic" w:cs="Arial"/>
                <w:b/>
                <w:bCs/>
                <w:sz w:val="16"/>
                <w:szCs w:val="16"/>
              </w:rPr>
              <w:t>entro le ore 23:59 del 25 aprile 2025</w:t>
            </w:r>
            <w:r w:rsidR="005C3DD6" w:rsidRPr="00F9591A">
              <w:rPr>
                <w:rFonts w:ascii="Century Gothic" w:hAnsi="Century Gothic" w:cs="Calibri"/>
                <w:b/>
                <w:bCs/>
                <w:sz w:val="16"/>
                <w:szCs w:val="16"/>
              </w:rPr>
              <w:t>,</w:t>
            </w:r>
            <w:r w:rsidR="005C3DD6" w:rsidRPr="00E66F1F">
              <w:rPr>
                <w:rFonts w:ascii="Century Gothic" w:hAnsi="Century Gothic" w:cs="Calibri"/>
                <w:sz w:val="16"/>
                <w:szCs w:val="16"/>
              </w:rPr>
              <w:t xml:space="preserve"> </w:t>
            </w:r>
            <w:r w:rsidRPr="00E66F1F">
              <w:rPr>
                <w:rFonts w:ascii="Century Gothic" w:hAnsi="Century Gothic" w:cs="Calibri"/>
                <w:sz w:val="16"/>
                <w:szCs w:val="16"/>
              </w:rPr>
              <w:t>unitamente a:</w:t>
            </w:r>
          </w:p>
          <w:p w14:paraId="519B034E" w14:textId="77777777" w:rsidR="002C7706" w:rsidRPr="00E66F1F" w:rsidRDefault="002C7706" w:rsidP="00E05613">
            <w:pPr>
              <w:pStyle w:val="Default"/>
              <w:ind w:left="720" w:hanging="270"/>
              <w:jc w:val="both"/>
              <w:rPr>
                <w:rFonts w:ascii="Century Gothic" w:hAnsi="Century Gothic" w:cs="Arial"/>
                <w:sz w:val="16"/>
                <w:szCs w:val="16"/>
              </w:rPr>
            </w:pPr>
          </w:p>
          <w:p w14:paraId="519B034F"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copia di un documento di identità avente validità corrente del delegante o</w:t>
            </w:r>
          </w:p>
          <w:p w14:paraId="519B0350"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519B0351" w14:textId="77777777" w:rsidR="00E33923" w:rsidRPr="00E66F1F" w:rsidRDefault="00E33923" w:rsidP="00E05613">
            <w:pPr>
              <w:pStyle w:val="Default"/>
              <w:ind w:left="720" w:hanging="270"/>
              <w:jc w:val="both"/>
              <w:rPr>
                <w:rFonts w:ascii="Century Gothic" w:hAnsi="Century Gothic" w:cs="Arial"/>
                <w:sz w:val="16"/>
                <w:szCs w:val="16"/>
              </w:rPr>
            </w:pPr>
          </w:p>
          <w:p w14:paraId="519B0352" w14:textId="77777777" w:rsidR="00E33923" w:rsidRPr="00E66F1F" w:rsidRDefault="00E33923" w:rsidP="00E05613">
            <w:pPr>
              <w:pStyle w:val="Default"/>
              <w:jc w:val="both"/>
              <w:rPr>
                <w:rFonts w:ascii="Century Gothic" w:hAnsi="Century Gothic" w:cs="Arial"/>
                <w:sz w:val="16"/>
                <w:szCs w:val="16"/>
              </w:rPr>
            </w:pPr>
            <w:r w:rsidRPr="00E66F1F">
              <w:rPr>
                <w:rFonts w:ascii="Century Gothic" w:hAnsi="Century Gothic" w:cs="Arial"/>
                <w:sz w:val="16"/>
                <w:szCs w:val="16"/>
              </w:rPr>
              <w:t>mediante una delle seguenti modalità alternative:</w:t>
            </w:r>
          </w:p>
          <w:p w14:paraId="519B0353" w14:textId="77777777" w:rsidR="00E33923" w:rsidRPr="00E66F1F" w:rsidRDefault="00E33923" w:rsidP="00E05613">
            <w:pPr>
              <w:pStyle w:val="Default"/>
              <w:jc w:val="both"/>
              <w:rPr>
                <w:rFonts w:ascii="Century Gothic" w:hAnsi="Century Gothic" w:cs="Arial"/>
                <w:sz w:val="16"/>
                <w:szCs w:val="16"/>
              </w:rPr>
            </w:pPr>
          </w:p>
          <w:p w14:paraId="519B0354" w14:textId="052DA9E1" w:rsidR="0055223E"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t</w:t>
            </w:r>
            <w:r w:rsidR="0055223E" w:rsidRPr="00E66F1F">
              <w:rPr>
                <w:rFonts w:ascii="Century Gothic" w:hAnsi="Century Gothic" w:cs="Arial"/>
                <w:sz w:val="16"/>
                <w:szCs w:val="16"/>
              </w:rPr>
              <w:t>rasmissione</w:t>
            </w:r>
            <w:r w:rsidRPr="00E66F1F">
              <w:rPr>
                <w:rFonts w:ascii="Century Gothic" w:hAnsi="Century Gothic" w:cs="Arial"/>
                <w:sz w:val="16"/>
                <w:szCs w:val="16"/>
              </w:rPr>
              <w:t xml:space="preserv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w:t>
            </w:r>
            <w:r w:rsidR="0055223E" w:rsidRPr="00E66F1F">
              <w:rPr>
                <w:rFonts w:ascii="Century Gothic" w:hAnsi="Century Gothic" w:cs="Arial"/>
                <w:sz w:val="16"/>
                <w:szCs w:val="16"/>
              </w:rPr>
              <w:t xml:space="preserve"> all’indirizzo di posta certificata </w:t>
            </w:r>
            <w:r w:rsidR="00E750E7" w:rsidRPr="00E66F1F">
              <w:rPr>
                <w:rFonts w:ascii="Century Gothic" w:hAnsi="Century Gothic" w:cs="Arial"/>
                <w:b/>
                <w:bCs/>
                <w:sz w:val="16"/>
                <w:szCs w:val="16"/>
              </w:rPr>
              <w:t>RD@pec.euronext.com</w:t>
            </w:r>
            <w:r w:rsidR="00E750E7"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COMER INDUSTRIES</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6E1EFD">
              <w:rPr>
                <w:rFonts w:ascii="Century Gothic" w:hAnsi="Century Gothic" w:cs="Arial"/>
                <w:sz w:val="16"/>
                <w:szCs w:val="16"/>
              </w:rPr>
              <w:t>5</w:t>
            </w:r>
            <w:r w:rsidR="0055223E" w:rsidRPr="00E66F1F">
              <w:rPr>
                <w:rFonts w:ascii="Century Gothic" w:hAnsi="Century Gothic" w:cs="Arial"/>
                <w:sz w:val="16"/>
                <w:szCs w:val="16"/>
              </w:rPr>
              <w:t xml:space="preserve">”) dalla propria casella di posta elettronica certificata </w:t>
            </w:r>
            <w:r w:rsidR="00575F35" w:rsidRPr="00E66F1F">
              <w:rPr>
                <w:rFonts w:ascii="Century Gothic" w:hAnsi="Century Gothic" w:cs="Arial"/>
                <w:sz w:val="16"/>
                <w:szCs w:val="16"/>
              </w:rPr>
              <w:t>(</w:t>
            </w:r>
            <w:r w:rsidR="0055223E" w:rsidRPr="00E66F1F">
              <w:rPr>
                <w:rFonts w:ascii="Century Gothic" w:hAnsi="Century Gothic" w:cs="Arial"/>
                <w:sz w:val="16"/>
                <w:szCs w:val="16"/>
              </w:rPr>
              <w:t>o, in mancanza, dalla propria casella mail del documento informatico sottoscritto con firma elettronica qualificata o digitale</w:t>
            </w:r>
            <w:r w:rsidR="00575F35" w:rsidRPr="00E66F1F">
              <w:rPr>
                <w:rFonts w:ascii="Century Gothic" w:hAnsi="Century Gothic" w:cs="Arial"/>
                <w:sz w:val="16"/>
                <w:szCs w:val="16"/>
              </w:rPr>
              <w:t>)</w:t>
            </w:r>
            <w:r w:rsidR="0055223E" w:rsidRPr="00E66F1F">
              <w:rPr>
                <w:rFonts w:ascii="Century Gothic" w:hAnsi="Century Gothic" w:cs="Arial"/>
                <w:sz w:val="16"/>
                <w:szCs w:val="16"/>
              </w:rPr>
              <w:t xml:space="preserve">; </w:t>
            </w:r>
          </w:p>
          <w:p w14:paraId="519B0356" w14:textId="3768B41A" w:rsidR="00A02C4A"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 xml:space="preserve">trasmissione </w:t>
            </w:r>
            <w:r w:rsidR="0055223E" w:rsidRPr="00E66F1F">
              <w:rPr>
                <w:rFonts w:ascii="Century Gothic" w:hAnsi="Century Gothic" w:cs="Arial"/>
                <w:sz w:val="16"/>
                <w:szCs w:val="16"/>
              </w:rPr>
              <w:t>in originale, tramite corriere o raccomandata A/R all</w:t>
            </w:r>
            <w:r w:rsidR="00E66F1F">
              <w:rPr>
                <w:rFonts w:ascii="Century Gothic" w:hAnsi="Century Gothic" w:cs="Arial"/>
                <w:sz w:val="16"/>
                <w:szCs w:val="16"/>
              </w:rPr>
              <w:t>a c</w:t>
            </w:r>
            <w:r w:rsidR="007D08BA">
              <w:rPr>
                <w:rFonts w:ascii="Century Gothic" w:hAnsi="Century Gothic" w:cs="Arial"/>
                <w:sz w:val="16"/>
                <w:szCs w:val="16"/>
              </w:rPr>
              <w:t>.a.</w:t>
            </w:r>
            <w:r w:rsidR="00E66F1F">
              <w:rPr>
                <w:rFonts w:ascii="Century Gothic" w:hAnsi="Century Gothic" w:cs="Arial"/>
                <w:sz w:val="16"/>
                <w:szCs w:val="16"/>
              </w:rPr>
              <w:t xml:space="preserve"> area </w:t>
            </w:r>
            <w:proofErr w:type="spellStart"/>
            <w:r w:rsidR="00E66F1F">
              <w:rPr>
                <w:rFonts w:ascii="Century Gothic" w:hAnsi="Century Gothic" w:cs="Arial"/>
                <w:sz w:val="16"/>
                <w:szCs w:val="16"/>
              </w:rPr>
              <w:t>Register</w:t>
            </w:r>
            <w:proofErr w:type="spellEnd"/>
            <w:r w:rsidR="0049474D">
              <w:rPr>
                <w:rFonts w:ascii="Century Gothic" w:hAnsi="Century Gothic" w:cs="Arial"/>
                <w:sz w:val="16"/>
                <w:szCs w:val="16"/>
              </w:rPr>
              <w:t xml:space="preserve"> Services, presso</w:t>
            </w:r>
            <w:r w:rsidR="0055223E" w:rsidRPr="00E66F1F">
              <w:rPr>
                <w:rFonts w:ascii="Century Gothic" w:hAnsi="Century Gothic" w:cs="Arial"/>
                <w:sz w:val="16"/>
                <w:szCs w:val="16"/>
              </w:rPr>
              <w:t xml:space="preserve"> </w:t>
            </w:r>
            <w:r w:rsidR="000C6655" w:rsidRPr="00E66F1F">
              <w:rPr>
                <w:rFonts w:ascii="Century Gothic" w:hAnsi="Century Gothic" w:cs="Arial"/>
                <w:sz w:val="16"/>
                <w:szCs w:val="16"/>
              </w:rPr>
              <w:t>Monte Titoli</w:t>
            </w:r>
            <w:r w:rsidR="0055223E" w:rsidRPr="00E66F1F">
              <w:rPr>
                <w:rFonts w:ascii="Century Gothic" w:hAnsi="Century Gothic" w:cs="Arial"/>
                <w:sz w:val="16"/>
                <w:szCs w:val="16"/>
              </w:rPr>
              <w:t xml:space="preserve"> S.p.A., </w:t>
            </w:r>
            <w:r w:rsidR="000274F6" w:rsidRPr="00E66F1F">
              <w:rPr>
                <w:rFonts w:ascii="Century Gothic" w:hAnsi="Century Gothic" w:cs="Arial"/>
                <w:sz w:val="16"/>
                <w:szCs w:val="16"/>
              </w:rPr>
              <w:t>Piazza degli Affari</w:t>
            </w:r>
            <w:r w:rsidR="0055223E" w:rsidRPr="00E66F1F">
              <w:rPr>
                <w:rFonts w:ascii="Century Gothic" w:hAnsi="Century Gothic" w:cs="Arial"/>
                <w:sz w:val="16"/>
                <w:szCs w:val="16"/>
              </w:rPr>
              <w:t xml:space="preserve"> n. </w:t>
            </w:r>
            <w:r w:rsidR="000274F6" w:rsidRPr="00E66F1F">
              <w:rPr>
                <w:rFonts w:ascii="Century Gothic" w:hAnsi="Century Gothic" w:cs="Arial"/>
                <w:sz w:val="16"/>
                <w:szCs w:val="16"/>
              </w:rPr>
              <w:t>6</w:t>
            </w:r>
            <w:r w:rsidR="0055223E" w:rsidRPr="00E66F1F">
              <w:rPr>
                <w:rFonts w:ascii="Century Gothic" w:hAnsi="Century Gothic" w:cs="Arial"/>
                <w:sz w:val="16"/>
                <w:szCs w:val="16"/>
              </w:rPr>
              <w:t xml:space="preserve">, </w:t>
            </w:r>
            <w:r w:rsidR="000274F6" w:rsidRPr="00E66F1F">
              <w:rPr>
                <w:rFonts w:ascii="Century Gothic" w:hAnsi="Century Gothic" w:cs="Arial"/>
                <w:sz w:val="16"/>
                <w:szCs w:val="16"/>
              </w:rPr>
              <w:t xml:space="preserve">20123 </w:t>
            </w:r>
            <w:r w:rsidR="0055223E" w:rsidRPr="00E66F1F">
              <w:rPr>
                <w:rFonts w:ascii="Century Gothic" w:hAnsi="Century Gothic" w:cs="Arial"/>
                <w:sz w:val="16"/>
                <w:szCs w:val="16"/>
              </w:rPr>
              <w:t xml:space="preserve">Milano (Rif. “Delega Assemblea </w:t>
            </w:r>
            <w:r>
              <w:rPr>
                <w:rFonts w:ascii="Century Gothic" w:hAnsi="Century Gothic" w:cs="Calibri"/>
                <w:sz w:val="16"/>
                <w:szCs w:val="16"/>
              </w:rPr>
              <w:t>COMER INDUSTRIES</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6E1EFD">
              <w:rPr>
                <w:rFonts w:ascii="Century Gothic" w:hAnsi="Century Gothic" w:cs="Arial"/>
                <w:sz w:val="16"/>
                <w:szCs w:val="16"/>
              </w:rPr>
              <w:t>5</w:t>
            </w:r>
            <w:r w:rsidR="0055223E" w:rsidRPr="00E66F1F">
              <w:rPr>
                <w:rFonts w:ascii="Century Gothic" w:hAnsi="Century Gothic" w:cs="Arial"/>
                <w:sz w:val="16"/>
                <w:szCs w:val="16"/>
              </w:rPr>
              <w:t xml:space="preserve">”) </w:t>
            </w:r>
            <w:r w:rsidR="0055223E" w:rsidRPr="00E66F1F">
              <w:rPr>
                <w:rFonts w:ascii="Century Gothic" w:hAnsi="Century Gothic" w:cs="Arial"/>
                <w:b/>
                <w:sz w:val="16"/>
                <w:szCs w:val="16"/>
              </w:rPr>
              <w:t xml:space="preserve">anticipandone copia riprodotta </w:t>
            </w:r>
            <w:proofErr w:type="spellStart"/>
            <w:r w:rsidR="0055223E" w:rsidRPr="00E66F1F">
              <w:rPr>
                <w:rFonts w:ascii="Century Gothic" w:hAnsi="Century Gothic" w:cs="Arial"/>
                <w:b/>
                <w:sz w:val="16"/>
                <w:szCs w:val="16"/>
              </w:rPr>
              <w:t>informaticamente</w:t>
            </w:r>
            <w:proofErr w:type="spellEnd"/>
            <w:r w:rsidR="0055223E" w:rsidRPr="00E66F1F">
              <w:rPr>
                <w:rFonts w:ascii="Century Gothic" w:hAnsi="Century Gothic" w:cs="Arial"/>
                <w:b/>
                <w:sz w:val="16"/>
                <w:szCs w:val="16"/>
              </w:rPr>
              <w:t xml:space="preserve"> (PDF)</w:t>
            </w:r>
            <w:r w:rsidR="0055223E" w:rsidRPr="00E66F1F">
              <w:rPr>
                <w:rFonts w:ascii="Century Gothic" w:hAnsi="Century Gothic" w:cs="Arial"/>
                <w:sz w:val="16"/>
                <w:szCs w:val="16"/>
              </w:rPr>
              <w:t xml:space="preserve"> a mezzo posta elettronica ordinaria alla casella </w:t>
            </w:r>
            <w:r w:rsidR="001A043B" w:rsidRPr="00E66F1F">
              <w:rPr>
                <w:rFonts w:ascii="Century Gothic" w:hAnsi="Century Gothic" w:cs="Arial"/>
                <w:b/>
                <w:bCs/>
                <w:sz w:val="16"/>
                <w:szCs w:val="16"/>
              </w:rPr>
              <w:t>RD@pec.euronext.com</w:t>
            </w:r>
            <w:r w:rsidR="001A043B"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COMER INDUSTRIES</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6E1EFD">
              <w:rPr>
                <w:rFonts w:ascii="Century Gothic" w:hAnsi="Century Gothic" w:cs="Arial"/>
                <w:sz w:val="16"/>
                <w:szCs w:val="16"/>
              </w:rPr>
              <w:t>5</w:t>
            </w:r>
            <w:r w:rsidR="0055223E" w:rsidRPr="00E66F1F">
              <w:rPr>
                <w:rFonts w:ascii="Century Gothic" w:hAnsi="Century Gothic" w:cs="Arial"/>
                <w:sz w:val="16"/>
                <w:szCs w:val="16"/>
              </w:rPr>
              <w:t>”)</w:t>
            </w:r>
            <w:r w:rsidR="00A02C4A" w:rsidRPr="00E66F1F">
              <w:rPr>
                <w:rFonts w:ascii="Century Gothic" w:hAnsi="Century Gothic" w:cs="Arial"/>
                <w:sz w:val="16"/>
                <w:szCs w:val="16"/>
              </w:rPr>
              <w:t xml:space="preserve">. </w:t>
            </w:r>
          </w:p>
          <w:p w14:paraId="519B0357" w14:textId="77777777" w:rsidR="00E33923" w:rsidRPr="00E66F1F" w:rsidRDefault="00E33923" w:rsidP="00E05613">
            <w:pPr>
              <w:pStyle w:val="Testonotaapidipagina"/>
              <w:spacing w:line="276" w:lineRule="auto"/>
              <w:ind w:left="426"/>
              <w:jc w:val="both"/>
              <w:rPr>
                <w:rFonts w:ascii="Century Gothic" w:hAnsi="Century Gothic" w:cs="Calibri"/>
                <w:sz w:val="16"/>
                <w:szCs w:val="16"/>
              </w:rPr>
            </w:pPr>
          </w:p>
          <w:p w14:paraId="4C72E95E" w14:textId="77777777" w:rsidR="00A04976" w:rsidRDefault="00E33923" w:rsidP="00E05613">
            <w:pPr>
              <w:autoSpaceDE w:val="0"/>
              <w:autoSpaceDN w:val="0"/>
              <w:adjustRightInd w:val="0"/>
              <w:spacing w:after="49"/>
              <w:jc w:val="both"/>
              <w:rPr>
                <w:rFonts w:ascii="Century Gothic" w:hAnsi="Century Gothic"/>
                <w:b/>
                <w:color w:val="F79646" w:themeColor="accent6"/>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w:t>
            </w:r>
            <w:r w:rsidR="000C6655" w:rsidRPr="00E66F1F">
              <w:rPr>
                <w:rFonts w:ascii="Century Gothic" w:eastAsia="Calibri" w:hAnsi="Century Gothic" w:cs="Arial"/>
                <w:iCs/>
                <w:color w:val="000000"/>
                <w:sz w:val="16"/>
                <w:szCs w:val="16"/>
              </w:rPr>
              <w:t>Monte Titoli</w:t>
            </w:r>
            <w:r w:rsidRPr="00E66F1F">
              <w:rPr>
                <w:rFonts w:ascii="Century Gothic" w:eastAsia="Calibri" w:hAnsi="Century Gothic" w:cs="Arial"/>
                <w:iCs/>
                <w:color w:val="000000"/>
                <w:sz w:val="16"/>
                <w:szCs w:val="16"/>
              </w:rPr>
              <w:t xml:space="preserve"> S.p.A. via e-mail all’indirizzo </w:t>
            </w:r>
            <w:r w:rsidR="005960C5"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sidR="009D7783">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w:t>
            </w:r>
            <w:r w:rsidR="00ED0B36" w:rsidRPr="00E66F1F">
              <w:rPr>
                <w:rFonts w:ascii="Century Gothic" w:eastAsia="Calibri" w:hAnsi="Century Gothic" w:cs="Arial"/>
                <w:iCs/>
                <w:color w:val="000000"/>
                <w:sz w:val="16"/>
                <w:szCs w:val="16"/>
              </w:rPr>
              <w:t>02</w:t>
            </w:r>
            <w:r w:rsidR="00BA6D0E" w:rsidRPr="00E66F1F">
              <w:rPr>
                <w:rFonts w:ascii="Century Gothic" w:eastAsia="Calibri" w:hAnsi="Century Gothic" w:cs="Arial"/>
                <w:iCs/>
                <w:color w:val="000000"/>
                <w:sz w:val="16"/>
                <w:szCs w:val="16"/>
              </w:rPr>
              <w:t>.</w:t>
            </w:r>
            <w:r w:rsidR="00ED0B36" w:rsidRPr="00E66F1F">
              <w:rPr>
                <w:rFonts w:ascii="Century Gothic" w:eastAsia="Calibri" w:hAnsi="Century Gothic" w:cs="Arial"/>
                <w:iCs/>
                <w:color w:val="000000"/>
                <w:sz w:val="16"/>
                <w:szCs w:val="16"/>
              </w:rPr>
              <w:t>33635810</w:t>
            </w:r>
            <w:r w:rsidR="009D7783">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sidRPr="008D499A">
              <w:rPr>
                <w:rFonts w:ascii="Century Gothic" w:hAnsi="Century Gothic"/>
                <w:b/>
                <w:color w:val="F79646" w:themeColor="accent6"/>
                <w:sz w:val="16"/>
                <w:szCs w:val="16"/>
              </w:rPr>
              <w:t xml:space="preserve"> </w:t>
            </w:r>
          </w:p>
        </w:tc>
      </w:tr>
      <w:tr w:rsidR="005D5CAD" w:rsidRPr="00E05613" w14:paraId="4AFE83C8" w14:textId="77777777" w:rsidTr="008D499A">
        <w:tc>
          <w:tcPr>
            <w:tcW w:w="14894" w:type="dxa"/>
          </w:tcPr>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bookmarkStart w:id="1" w:name="Art._135-undecies"/>
      <w:bookmarkStart w:id="2" w:name="Art._135-decies"/>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2AB8B2AB" w14:textId="1BB62982" w:rsidR="00DE3322" w:rsidRDefault="00280779">
      <w:pPr>
        <w:rPr>
          <w:rFonts w:ascii="Century Gothic" w:hAnsi="Century Gothic" w:cs="Arial"/>
          <w:b/>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 xml:space="preserve">Comer Industries: </w:t>
      </w:r>
    </w:p>
    <w:p w14:paraId="14E31071" w14:textId="64938216" w:rsidR="000D0A00" w:rsidRDefault="000D0A00">
      <w:pPr>
        <w:rPr>
          <w:rFonts w:ascii="Century Gothic" w:hAnsi="Century Gothic"/>
          <w:iCs/>
          <w:sz w:val="16"/>
          <w:szCs w:val="16"/>
        </w:rPr>
      </w:pPr>
      <w:r w:rsidRPr="000D0A00">
        <w:rPr>
          <w:rFonts w:ascii="Century Gothic" w:hAnsi="Century Gothic"/>
          <w:b/>
          <w:bCs/>
          <w:iCs/>
          <w:sz w:val="16"/>
          <w:szCs w:val="16"/>
        </w:rPr>
        <w:t>Comer Industries Spa</w:t>
      </w:r>
      <w:r w:rsidRPr="000D0A00">
        <w:rPr>
          <w:rFonts w:ascii="Century Gothic" w:hAnsi="Century Gothic"/>
          <w:iCs/>
          <w:sz w:val="16"/>
          <w:szCs w:val="16"/>
        </w:rPr>
        <w:t>, di seguito “Titolare”, riconosce l’importanza della protezione dei dati personali e si impegna a rispettare la privacy degli Interessati, trattando i dati privati con cautela e riservatezza, non utilizzandoli per finalità diverse da quelle specificate di seguito.</w:t>
      </w:r>
      <w:r w:rsidRPr="000D0A00">
        <w:rPr>
          <w:rFonts w:ascii="Century Gothic" w:hAnsi="Century Gothic"/>
          <w:iCs/>
          <w:sz w:val="16"/>
          <w:szCs w:val="16"/>
        </w:rPr>
        <w:br/>
        <w:t>A tal fine, in questa policy si descrivono le modalità di gestione del sito web in riferimento al trattamento dei dati personali degli utenti che lo consultano. Si tratta di un’informativa resa, anche ai sensi dell’art.13 del Regolamento UE 2016/679 (di seguito “GDPR”), a coloro che interagiscono con i servizi web di Comer Industries Spa, accessibili per via telematica sulle pagine del sito web: https://www.comerindustries.com.</w:t>
      </w:r>
      <w:r w:rsidRPr="000D0A00">
        <w:rPr>
          <w:rFonts w:ascii="Century Gothic" w:hAnsi="Century Gothic"/>
          <w:iCs/>
          <w:sz w:val="16"/>
          <w:szCs w:val="16"/>
        </w:rPr>
        <w:br/>
        <w:t>Questa Policy potrà essere modificata o aggiornata in qualsiasi momento dal Titolare. L’informativa è resa solo per il presente sito web e non anche per altri siti web eventualmente consultati dall’utente tramite link, fatti salvi quelli sopra indicati.</w:t>
      </w:r>
      <w:r w:rsidRPr="000D0A00">
        <w:rPr>
          <w:rFonts w:ascii="Century Gothic" w:hAnsi="Century Gothic"/>
          <w:iCs/>
          <w:sz w:val="16"/>
          <w:szCs w:val="16"/>
        </w:rPr>
        <w:br/>
        <w:t> </w:t>
      </w:r>
      <w:r w:rsidRPr="000D0A00">
        <w:rPr>
          <w:rFonts w:ascii="Century Gothic" w:hAnsi="Century Gothic"/>
          <w:iCs/>
          <w:sz w:val="16"/>
          <w:szCs w:val="16"/>
        </w:rPr>
        <w:br/>
      </w:r>
      <w:r w:rsidRPr="000D0A00">
        <w:rPr>
          <w:rFonts w:ascii="Century Gothic" w:hAnsi="Century Gothic"/>
          <w:b/>
          <w:bCs/>
          <w:iCs/>
          <w:sz w:val="16"/>
          <w:szCs w:val="16"/>
        </w:rPr>
        <w:t>TITOLARE DEL TRATTAMENTO</w:t>
      </w:r>
      <w:r w:rsidRPr="000D0A00">
        <w:rPr>
          <w:rFonts w:ascii="Century Gothic" w:hAnsi="Century Gothic"/>
          <w:iCs/>
          <w:sz w:val="16"/>
          <w:szCs w:val="16"/>
        </w:rPr>
        <w:br/>
        <w:t>Titolare del trattamento è Comer Industries Spa, con sede legale in Reggiolo (RE) Via Magellano, 27 con Iscr. Reg. Imprese di RE n. 07210440157, Cod. Fisc. 07210440157 e Part. IVA IT 01399270352.</w:t>
      </w:r>
    </w:p>
    <w:p w14:paraId="40B0C82B" w14:textId="77777777" w:rsidR="00984E8E" w:rsidRDefault="00984E8E">
      <w:pPr>
        <w:rPr>
          <w:rFonts w:ascii="Century Gothic" w:hAnsi="Century Gothic"/>
          <w:iCs/>
          <w:sz w:val="16"/>
          <w:szCs w:val="16"/>
        </w:rPr>
      </w:pPr>
    </w:p>
    <w:p w14:paraId="315C1632" w14:textId="77777777" w:rsidR="00A8406A" w:rsidRDefault="00A8406A">
      <w:pPr>
        <w:rPr>
          <w:rFonts w:ascii="Century Gothic" w:hAnsi="Century Gothic"/>
          <w:iCs/>
          <w:sz w:val="16"/>
          <w:szCs w:val="16"/>
        </w:rPr>
      </w:pPr>
    </w:p>
    <w:p w14:paraId="556EA23E" w14:textId="00D11300" w:rsidR="00A8406A" w:rsidRDefault="00A8406A">
      <w:pPr>
        <w:rPr>
          <w:rFonts w:ascii="Century Gothic" w:hAnsi="Century Gothic"/>
          <w:iCs/>
          <w:sz w:val="16"/>
          <w:szCs w:val="16"/>
        </w:rPr>
      </w:pPr>
    </w:p>
    <w:bookmarkEnd w:id="1"/>
    <w:bookmarkEnd w:id="2"/>
    <w:tbl>
      <w:tblPr>
        <w:tblStyle w:val="Grigliatabella"/>
        <w:tblW w:w="15168" w:type="dxa"/>
        <w:tblLook w:val="04A0" w:firstRow="1" w:lastRow="0" w:firstColumn="1" w:lastColumn="0" w:noHBand="0" w:noVBand="1"/>
      </w:tblPr>
      <w:tblGrid>
        <w:gridCol w:w="15168"/>
      </w:tblGrid>
      <w:tr w:rsidR="00984E8E" w:rsidRPr="00984E8E" w14:paraId="32B9264F" w14:textId="77777777" w:rsidTr="00984E8E">
        <w:tc>
          <w:tcPr>
            <w:tcW w:w="15168" w:type="dxa"/>
            <w:tcBorders>
              <w:top w:val="nil"/>
              <w:left w:val="nil"/>
              <w:bottom w:val="nil"/>
              <w:right w:val="nil"/>
            </w:tcBorders>
            <w:shd w:val="clear" w:color="auto" w:fill="7F7F7F" w:themeFill="text1" w:themeFillTint="80"/>
          </w:tcPr>
          <w:p w14:paraId="1F664D88" w14:textId="7EC79D1E" w:rsidR="00984E8E" w:rsidRPr="00984E8E" w:rsidRDefault="00984E8E" w:rsidP="00984E8E"/>
        </w:tc>
      </w:tr>
    </w:tbl>
    <w:tbl>
      <w:tblPr>
        <w:tblW w:w="151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96"/>
      </w:tblGrid>
      <w:tr w:rsidR="00E422BE" w:rsidRPr="00E05613" w14:paraId="519B03B2" w14:textId="77777777" w:rsidTr="00984E8E">
        <w:tc>
          <w:tcPr>
            <w:tcW w:w="15196" w:type="dxa"/>
            <w:tcBorders>
              <w:top w:val="nil"/>
              <w:left w:val="nil"/>
              <w:bottom w:val="nil"/>
              <w:right w:val="nil"/>
            </w:tcBorders>
            <w:shd w:val="clear" w:color="auto" w:fill="D9D9D9" w:themeFill="background1" w:themeFillShade="D9"/>
            <w:vAlign w:val="center"/>
          </w:tcPr>
          <w:p w14:paraId="519B03B1" w14:textId="3D4323D8" w:rsidR="00E422BE" w:rsidRPr="00075A7B" w:rsidRDefault="00ED6069" w:rsidP="00E417B3">
            <w:pPr>
              <w:pStyle w:val="Default"/>
              <w:jc w:val="center"/>
              <w:rPr>
                <w:rFonts w:ascii="Century Gothic" w:hAnsi="Century Gothic" w:cs="Arial"/>
                <w:b/>
                <w:bCs/>
                <w:color w:val="auto"/>
                <w:sz w:val="16"/>
                <w:szCs w:val="16"/>
              </w:rPr>
            </w:pPr>
            <w:proofErr w:type="spellStart"/>
            <w:r w:rsidRPr="00075A7B">
              <w:rPr>
                <w:rFonts w:ascii="Century Gothic" w:hAnsi="Century Gothic" w:cs="Arial"/>
                <w:b/>
                <w:color w:val="auto"/>
                <w:sz w:val="16"/>
                <w:szCs w:val="16"/>
              </w:rPr>
              <w:t>D.Lgs.</w:t>
            </w:r>
            <w:proofErr w:type="spellEnd"/>
            <w:r w:rsidRPr="00075A7B">
              <w:rPr>
                <w:rFonts w:ascii="Century Gothic" w:hAnsi="Century Gothic" w:cs="Arial"/>
                <w:b/>
                <w:color w:val="auto"/>
                <w:sz w:val="16"/>
                <w:szCs w:val="16"/>
              </w:rPr>
              <w:t xml:space="preserve"> 58/1998</w:t>
            </w:r>
          </w:p>
        </w:tc>
      </w:tr>
      <w:tr w:rsidR="00E422BE" w:rsidRPr="00A80307" w14:paraId="519B03BD" w14:textId="77777777" w:rsidTr="00984E8E">
        <w:trPr>
          <w:trHeight w:val="142"/>
        </w:trPr>
        <w:tc>
          <w:tcPr>
            <w:tcW w:w="15196" w:type="dxa"/>
            <w:tcBorders>
              <w:top w:val="nil"/>
              <w:left w:val="nil"/>
              <w:bottom w:val="nil"/>
              <w:right w:val="nil"/>
            </w:tcBorders>
          </w:tcPr>
          <w:p w14:paraId="519B03B4" w14:textId="77777777" w:rsidR="004A550E" w:rsidRPr="00A80307" w:rsidRDefault="004A550E" w:rsidP="00E417B3">
            <w:pPr>
              <w:pStyle w:val="Default"/>
              <w:ind w:left="-44"/>
              <w:jc w:val="center"/>
              <w:rPr>
                <w:rFonts w:ascii="Century Gothic" w:hAnsi="Century Gothic" w:cs="Arial"/>
                <w:b/>
                <w:color w:val="auto"/>
                <w:sz w:val="14"/>
                <w:szCs w:val="14"/>
              </w:rPr>
            </w:pPr>
            <w:r w:rsidRPr="00A80307">
              <w:rPr>
                <w:rFonts w:ascii="Century Gothic" w:hAnsi="Century Gothic" w:cs="Arial"/>
                <w:b/>
                <w:color w:val="auto"/>
                <w:sz w:val="14"/>
                <w:szCs w:val="14"/>
              </w:rPr>
              <w:t>Art. 126-</w:t>
            </w:r>
            <w:r w:rsidRPr="00E417B3">
              <w:rPr>
                <w:rFonts w:ascii="Century Gothic" w:hAnsi="Century Gothic" w:cs="Arial"/>
                <w:b/>
                <w:i/>
                <w:iCs/>
                <w:color w:val="auto"/>
                <w:sz w:val="14"/>
                <w:szCs w:val="14"/>
              </w:rPr>
              <w:t>bis</w:t>
            </w:r>
          </w:p>
          <w:p w14:paraId="519B03B6" w14:textId="782742D0" w:rsidR="004A550E" w:rsidRPr="00A80307" w:rsidRDefault="004A550E" w:rsidP="00664ED9">
            <w:pPr>
              <w:pStyle w:val="Default"/>
              <w:ind w:left="720"/>
              <w:jc w:val="center"/>
              <w:rPr>
                <w:rFonts w:ascii="Century Gothic" w:hAnsi="Century Gothic" w:cs="Arial"/>
                <w:b/>
                <w:color w:val="auto"/>
                <w:sz w:val="14"/>
                <w:szCs w:val="14"/>
              </w:rPr>
            </w:pPr>
            <w:r w:rsidRPr="00A80307">
              <w:rPr>
                <w:rFonts w:ascii="Century Gothic" w:hAnsi="Century Gothic" w:cs="Arial"/>
                <w:b/>
                <w:color w:val="auto"/>
                <w:sz w:val="14"/>
                <w:szCs w:val="14"/>
              </w:rPr>
              <w:t>(Integrazione dell'ordine del giorno dell'assemblea e presentazione di nuove proposte di delibera)</w:t>
            </w:r>
          </w:p>
          <w:p w14:paraId="519B03B7" w14:textId="4A38059A"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I soci che, anche congiuntamente, rappresentino almeno un quarantesimo del capitale sociale possono chiedere, entro dieci giorni dalla pubblicazione dell'avviso di convocazione dell'assemblea, ovvero entro cinque giorni nel caso di convocazione ai sensi dell'articolo 125-bis, comma 3 o dell'articolo 104, comma 2, l'integrazione dell'elenco delle materie da trattare, indicando nella domanda gli ulteriori argomenti da essi proposti ovvero presentare proposte di deliberazione su materie già all’ordine del giorno. Le domande, unitamente alla certificazione attestante la titolarità della partecipazione, sono presentate per iscritto, anche per corrispondenza ovvero in via elettronica, nel rispetto degli eventuali requisiti strettamente necessari per l’identificazione dei richiedenti indicati dalla società. Colui al quale spetta il diritto di voto può presentare individualmente proposte di deliberazione in assemblea. Per le società cooperative la misura del capitale è determinata dagli statuti anche in deroga all’articolo 135.</w:t>
            </w:r>
            <w:r w:rsidR="00666229">
              <w:rPr>
                <w:rFonts w:ascii="Century Gothic" w:hAnsi="Century Gothic" w:cs="Arial"/>
                <w:bCs/>
                <w:color w:val="auto"/>
                <w:sz w:val="14"/>
                <w:szCs w:val="14"/>
              </w:rPr>
              <w:t xml:space="preserve"> </w:t>
            </w:r>
          </w:p>
          <w:p w14:paraId="519B03B8"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Delle integrazioni all'ordine del giorno o della presentazione di ulteriori proposte di deliberazione su materie già all’ordine del giorno, ai sensi del comma 1, è data notizia, nelle stesse forme prescritte per la pubblicazione dell’avviso di convocazione, almeno quindici giorni prima di quello fissato per l’assemblea. Le ulteriori proposte di deliberazione su materie già all’ordine del giorno sono messe a disposizione del pubblico con le modalità di cui all’articolo 125-ter, comma 1, contestualmente alla pubblicazione della notizia della presentazione. Il termine è ridotto a sette giorni nel caso di assemblea convocata ai sensi dell’articolo 104, comma 2, ovvero nel caso di assemblea convocata ai sensi dell’articolo 125-bis, comma 3. </w:t>
            </w:r>
          </w:p>
          <w:p w14:paraId="519B03B9"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L'integrazione dell'ordine del giorno non è ammessa per gli argomenti sui quali l'assemblea delibera, a norma di legge, su proposta dell’organo di amministrazione o sulla base di un progetto o di una relazione da essi predisposta, diversa da quelle indicate all’articolo 125-ter, comma 1. </w:t>
            </w:r>
          </w:p>
          <w:p w14:paraId="519B03BA"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richiedono l'integrazione ai sensi del comma 1 predispongono una relazione che riporti la motivazione delle proposte di deliberazione sulle nuove materie di cui essi propongono la trattazione ovvero la motivazione relativa alle ulteriori proposte di deliberazione presentate su materie già all’ordine del giorno. La relazione è trasmessa all'organo di amministrazione entro il termine ultimo per la presentazione della richiesta di integrazione. L'organo di amministrazione mette a disposizione del pubblico la relazione, accompagnata dalle proprie eventuali valutazioni, contestualmente alla pubblicazione della notizia dell'integrazione o della presentazione, con le modalità di cui all' articolo 125-ter, comma 1. </w:t>
            </w:r>
          </w:p>
          <w:p w14:paraId="519B03BC" w14:textId="0FDCB866" w:rsidR="004A550E" w:rsidRPr="00A80307" w:rsidRDefault="004A550E" w:rsidP="00664ED9">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Se l’organo di amministrazione, ovvero, in caso di inerzia di questo, il collegio sindacale, o il consiglio di sorveglianza o il comitato per il controllo sulla gestione, non provvedono all’integrazione dell’ordine del giorno con le nuove materie o proposte presentate ai sensi del comma 1, il tribunale, sentiti i componenti degli organi di amministrazione e di controllo, ove il rifiuto di provvedere risulti ingiustificato, ordina con decreto l’integrazione. Il decreto è pubblicato con le modalità previste dall’articolo 125-ter, comma 1.</w:t>
            </w:r>
          </w:p>
        </w:tc>
      </w:tr>
      <w:tr w:rsidR="005910AE" w:rsidRPr="00A80307" w14:paraId="519B03D9" w14:textId="77777777" w:rsidTr="00984E8E">
        <w:trPr>
          <w:trHeight w:val="95"/>
        </w:trPr>
        <w:tc>
          <w:tcPr>
            <w:tcW w:w="15196" w:type="dxa"/>
            <w:tcBorders>
              <w:top w:val="nil"/>
              <w:left w:val="nil"/>
              <w:bottom w:val="nil"/>
              <w:right w:val="nil"/>
            </w:tcBorders>
          </w:tcPr>
          <w:p w14:paraId="519B03BE"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decies</w:t>
            </w:r>
          </w:p>
          <w:p w14:paraId="519B03BF"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(Conflitto di interessi del rappresentante e dei sostituti)</w:t>
            </w:r>
          </w:p>
          <w:p w14:paraId="1D0892D0"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 </w:t>
            </w:r>
          </w:p>
          <w:p w14:paraId="0420DA16"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Ai fini del presente articolo, sussiste in ogni caso un conflitto di interessi ove il rappresentante o il sostituto: </w:t>
            </w:r>
          </w:p>
          <w:p w14:paraId="2BA3CB1A" w14:textId="77777777" w:rsidR="007A03BB" w:rsidRDefault="004A550E" w:rsidP="007A03BB">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controlli, anche congiuntamente, la società o ne sia controllato, anche congiuntamente, ovvero sia sottoposto a comune controllo con la società; </w:t>
            </w:r>
          </w:p>
          <w:p w14:paraId="3EBE8471"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collegato alla società o eserciti un'influenza notevole su di essa ovvero quest’ultima eserciti sul rappresentante stesso un’influenza notevole; </w:t>
            </w:r>
          </w:p>
          <w:p w14:paraId="4A2A1CEF"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componente dell'organo di amministrazione o di controllo della società o dei soggetti indicati alle lettere a) e b); </w:t>
            </w:r>
          </w:p>
          <w:p w14:paraId="519B03C5" w14:textId="6CA3275D" w:rsidR="004A550E" w:rsidRP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dipendente o un revisore della società o dei soggetti indicati alla lettera a); </w:t>
            </w:r>
          </w:p>
          <w:p w14:paraId="69601092" w14:textId="2568A747" w:rsidR="007A03BB"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lastRenderedPageBreak/>
              <w:t xml:space="preserve">sia coniuge, parente o affine entro quarto grado dei soggetti indicati alle lettere da a) a c); </w:t>
            </w:r>
          </w:p>
          <w:p w14:paraId="519B03C7" w14:textId="0F311785" w:rsidR="004A550E" w:rsidRPr="00A80307"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legato alla società o ai soggetti indicati alle lettere a), b), c) ed e) da rapporti di lavoro autonomo o subordinato ovvero da altri rapporti di natura patrimoniale che ne compromettano l'indipendenza. </w:t>
            </w:r>
          </w:p>
          <w:p w14:paraId="4CDCACB1" w14:textId="77777777" w:rsid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519B03C9" w14:textId="102DECA8" w:rsidR="004A550E" w:rsidRP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Il presente articolo si applica anche nel caso di trasferimento delle azioni per procura.</w:t>
            </w:r>
          </w:p>
          <w:p w14:paraId="519B03D1"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undecies</w:t>
            </w:r>
          </w:p>
          <w:p w14:paraId="519B03D2"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519B03D3"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519B03D4"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19B03D5"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519B03D6"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 </w:t>
            </w:r>
          </w:p>
          <w:p w14:paraId="519B03D7" w14:textId="77777777" w:rsidR="004A550E"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Con il regolamento di cui al comma 2, la Consob può stabilire i casi in cui il rappresentante che non si trovi in alcuna delle condizioni indicate all'articolo 135-</w:t>
            </w:r>
            <w:r w:rsidRPr="00A80307">
              <w:rPr>
                <w:rFonts w:ascii="Century Gothic" w:hAnsi="Century Gothic" w:cs="Arial"/>
                <w:bCs/>
                <w:i/>
                <w:color w:val="auto"/>
                <w:sz w:val="14"/>
                <w:szCs w:val="14"/>
              </w:rPr>
              <w:t>decies</w:t>
            </w:r>
            <w:r w:rsidRPr="00A80307">
              <w:rPr>
                <w:rFonts w:ascii="Century Gothic" w:hAnsi="Century Gothic" w:cs="Arial"/>
                <w:bCs/>
                <w:color w:val="auto"/>
                <w:sz w:val="14"/>
                <w:szCs w:val="14"/>
              </w:rPr>
              <w:t xml:space="preserve"> può esprimere un voto difforme da quello indicato nelle istruzioni.</w:t>
            </w:r>
          </w:p>
          <w:p w14:paraId="2781DD90" w14:textId="7C0A0836" w:rsidR="00C04657" w:rsidRPr="00A80307" w:rsidRDefault="00C04657" w:rsidP="00C04657">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w:t>
            </w:r>
            <w:r>
              <w:rPr>
                <w:rFonts w:ascii="Century Gothic" w:hAnsi="Century Gothic" w:cs="Arial"/>
                <w:b/>
                <w:bCs/>
                <w:i/>
                <w:color w:val="auto"/>
                <w:sz w:val="14"/>
                <w:szCs w:val="14"/>
              </w:rPr>
              <w:t>s-1</w:t>
            </w:r>
          </w:p>
          <w:p w14:paraId="3C1DA039" w14:textId="77777777" w:rsidR="00C04657" w:rsidRPr="00A80307" w:rsidRDefault="00C04657" w:rsidP="00C04657">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354764DC" w14:textId="59FA6131" w:rsidR="00C223E8" w:rsidRPr="0047589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Lo statuto può prevedere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che l'intervento in assemblea e l'esercizio del diritto di voto avvengano esclusivamente tramite il rappresentante designato dalla società</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ai sensi dell'articolo 135-undecies. Al rappresentante designato possono essere conferite anche deleghe o sub-deleghe ai sensi dell’articolo 135-novies, in deroga all'articolo 135-undecies, comma 4. </w:t>
            </w:r>
          </w:p>
          <w:p w14:paraId="0EF5143B" w14:textId="42899F23" w:rsidR="00C223E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Non è consentita la presentazione di</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proposte</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di</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assemblea.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Fermo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restando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quanto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previsto dall’articolo 126-bis, comma 1, primo periodo, coloro che </w:t>
            </w:r>
            <w:r w:rsidR="000D558E">
              <w:rPr>
                <w:rFonts w:ascii="Century Gothic" w:hAnsi="Century Gothic" w:cs="Arial"/>
                <w:bCs/>
                <w:color w:val="auto"/>
                <w:sz w:val="14"/>
                <w:szCs w:val="14"/>
              </w:rPr>
              <w:t>h</w:t>
            </w:r>
            <w:r w:rsidRPr="00475898">
              <w:rPr>
                <w:rFonts w:ascii="Century Gothic" w:hAnsi="Century Gothic" w:cs="Arial"/>
                <w:bCs/>
                <w:color w:val="auto"/>
                <w:sz w:val="14"/>
                <w:szCs w:val="14"/>
              </w:rPr>
              <w:t>anno diritto al voto possono presentare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individualmente proposte di delibera sulle materie all'ordine del giorno ovvero proposte la cui presentazione è altrimenti consentita dalla legge entro il quindicesimo giorno precedente la data della prima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o unica convocazione dell'assemblea. Le proposte di delibera sono messe a disposizione del pubblico nel sito internet della società entro i due giorni successivi alla scadenza del termine. La legittimazione alla presentazione individuale di proposte di delibera è subordinata alla ricezione da parte della società della comunicazione prevista dall'articolo 83-sexies.</w:t>
            </w:r>
          </w:p>
          <w:p w14:paraId="6B15D9C6" w14:textId="61A604A3" w:rsidR="00C223E8" w:rsidRPr="00E47256"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all'articolo 127-ter è esercitato unicamente</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 dell'assemblea. La società fornisce almeno tre giorni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 xml:space="preserve">dell'assemblea le risposte alle domande pervenute. </w:t>
            </w:r>
          </w:p>
          <w:p w14:paraId="40505F90" w14:textId="63520C21" w:rsidR="00C223E8" w:rsidRPr="00A80307"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4. Il comma 1 si applica anche alle società ammesse alla negoziazione su un sistema multilaterale di negoziazione</w:t>
            </w:r>
            <w:r>
              <w:rPr>
                <w:rFonts w:ascii="Century Gothic" w:hAnsi="Century Gothic" w:cs="Arial"/>
                <w:bCs/>
                <w:color w:val="auto"/>
                <w:sz w:val="14"/>
                <w:szCs w:val="14"/>
              </w:rPr>
              <w:t>.</w:t>
            </w:r>
          </w:p>
          <w:p w14:paraId="519B03D8" w14:textId="77777777" w:rsidR="005910AE" w:rsidRPr="00A80307" w:rsidRDefault="005910AE" w:rsidP="00E422BE">
            <w:pPr>
              <w:pStyle w:val="Default"/>
              <w:jc w:val="center"/>
              <w:rPr>
                <w:rFonts w:ascii="Century Gothic" w:hAnsi="Century Gothic" w:cs="Arial"/>
                <w:bCs/>
                <w:color w:val="auto"/>
                <w:sz w:val="14"/>
                <w:szCs w:val="14"/>
              </w:rPr>
            </w:pPr>
          </w:p>
        </w:tc>
      </w:tr>
      <w:tr w:rsidR="00EB0951" w:rsidRPr="00E05613" w14:paraId="519B03DB" w14:textId="77777777" w:rsidTr="00984E8E">
        <w:tc>
          <w:tcPr>
            <w:tcW w:w="15196" w:type="dxa"/>
            <w:tcBorders>
              <w:top w:val="nil"/>
              <w:left w:val="nil"/>
              <w:bottom w:val="nil"/>
              <w:right w:val="nil"/>
            </w:tcBorders>
            <w:shd w:val="clear" w:color="auto" w:fill="D9D9D9" w:themeFill="background1" w:themeFillShade="D9"/>
          </w:tcPr>
          <w:p w14:paraId="519B03DA" w14:textId="4F0C78B5" w:rsidR="00EB0951" w:rsidRPr="007E5918" w:rsidRDefault="004A550E" w:rsidP="004A550E">
            <w:pPr>
              <w:tabs>
                <w:tab w:val="left" w:pos="3120"/>
                <w:tab w:val="left" w:pos="4200"/>
                <w:tab w:val="left" w:pos="5760"/>
                <w:tab w:val="left" w:pos="8160"/>
              </w:tabs>
              <w:jc w:val="center"/>
              <w:outlineLvl w:val="0"/>
              <w:rPr>
                <w:rFonts w:ascii="Century Gothic" w:hAnsi="Century Gothic" w:cs="Calibri"/>
                <w:sz w:val="16"/>
                <w:szCs w:val="16"/>
              </w:rPr>
            </w:pPr>
            <w:r w:rsidRPr="007E5918">
              <w:rPr>
                <w:rFonts w:ascii="Century Gothic" w:hAnsi="Century Gothic" w:cs="Calibri"/>
                <w:b/>
                <w:sz w:val="16"/>
                <w:szCs w:val="16"/>
              </w:rPr>
              <w:lastRenderedPageBreak/>
              <w:t>Codice civile</w:t>
            </w:r>
          </w:p>
        </w:tc>
      </w:tr>
      <w:tr w:rsidR="00EB0951" w:rsidRPr="00E05613" w14:paraId="519B03E6" w14:textId="77777777" w:rsidTr="00984E8E">
        <w:trPr>
          <w:trHeight w:val="243"/>
        </w:trPr>
        <w:tc>
          <w:tcPr>
            <w:tcW w:w="15196" w:type="dxa"/>
            <w:tcBorders>
              <w:top w:val="nil"/>
              <w:left w:val="nil"/>
              <w:bottom w:val="nil"/>
              <w:right w:val="nil"/>
            </w:tcBorders>
          </w:tcPr>
          <w:p w14:paraId="519B03DD" w14:textId="77777777" w:rsidR="00E05613" w:rsidRPr="00915114" w:rsidRDefault="00E05613" w:rsidP="00DB3909">
            <w:pPr>
              <w:tabs>
                <w:tab w:val="left" w:pos="3120"/>
                <w:tab w:val="left" w:pos="4200"/>
                <w:tab w:val="left" w:pos="5760"/>
                <w:tab w:val="left" w:pos="8160"/>
              </w:tabs>
              <w:jc w:val="center"/>
              <w:outlineLvl w:val="0"/>
              <w:rPr>
                <w:rFonts w:ascii="Century Gothic" w:hAnsi="Century Gothic" w:cs="Arial"/>
                <w:b/>
                <w:bCs/>
                <w:sz w:val="14"/>
                <w:szCs w:val="14"/>
              </w:rPr>
            </w:pPr>
            <w:r w:rsidRPr="00915114">
              <w:rPr>
                <w:rFonts w:ascii="Century Gothic" w:hAnsi="Century Gothic" w:cs="Arial"/>
                <w:b/>
                <w:bCs/>
                <w:sz w:val="14"/>
                <w:szCs w:val="14"/>
              </w:rPr>
              <w:t>Art. 2393 (Azione sociale di responsabilità)</w:t>
            </w:r>
          </w:p>
          <w:p w14:paraId="382C9CD6" w14:textId="77777777" w:rsidR="0007008C" w:rsidRDefault="00E05613" w:rsidP="0002089F">
            <w:pPr>
              <w:pStyle w:val="Default"/>
              <w:numPr>
                <w:ilvl w:val="0"/>
                <w:numId w:val="17"/>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L'azione di responsabilità contro gli amministratori è promossa in seguito a deliberazione dell'assemblea, anche se la società è in liquidazione. </w:t>
            </w:r>
          </w:p>
          <w:p w14:paraId="6A216221" w14:textId="77777777" w:rsidR="0007008C" w:rsidRDefault="00E05613" w:rsidP="0002089F">
            <w:pPr>
              <w:pStyle w:val="Default"/>
              <w:numPr>
                <w:ilvl w:val="0"/>
                <w:numId w:val="17"/>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55D3157B" w14:textId="77777777" w:rsidR="0007008C" w:rsidRDefault="00E05613" w:rsidP="0002089F">
            <w:pPr>
              <w:pStyle w:val="Default"/>
              <w:numPr>
                <w:ilvl w:val="0"/>
                <w:numId w:val="17"/>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L'azione di responsabilità può anche essere promossa a seguito di deliberazione del collegio sindacale, assunta con la maggioranza dei due terzi dei suoi componenti. </w:t>
            </w:r>
          </w:p>
          <w:p w14:paraId="40C1D16A" w14:textId="77777777" w:rsidR="0007008C" w:rsidRDefault="00E05613" w:rsidP="0002089F">
            <w:pPr>
              <w:pStyle w:val="Default"/>
              <w:numPr>
                <w:ilvl w:val="0"/>
                <w:numId w:val="17"/>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L'azione può essere esercitata entro cinque anni dalla cessazione dell'amministratore dalla carica. </w:t>
            </w:r>
          </w:p>
          <w:p w14:paraId="64A1269B" w14:textId="77777777" w:rsidR="0007008C" w:rsidRDefault="00E05613" w:rsidP="0002089F">
            <w:pPr>
              <w:pStyle w:val="Default"/>
              <w:numPr>
                <w:ilvl w:val="0"/>
                <w:numId w:val="17"/>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 deliberazione dell'azione di responsabilità importa la revoca dall'ufficio degli amministratori contro cui è proposta, purché sia presa con il voto favorevole di almeno un quinto del capitale sociale. In questo caso, l'assemblea provvede alla sostituzione degli amministratori. </w:t>
            </w:r>
          </w:p>
          <w:p w14:paraId="519B03E3" w14:textId="32BF0149" w:rsidR="00E05613" w:rsidRPr="0007008C" w:rsidRDefault="00E05613" w:rsidP="0002089F">
            <w:pPr>
              <w:pStyle w:val="Default"/>
              <w:numPr>
                <w:ilvl w:val="0"/>
                <w:numId w:val="17"/>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La società può rinunziare all'esercizio dell'azione di responsabilità e può transigere, purché la rinunzia e la transazione siano approvate con espressa 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2393-bis.</w:t>
            </w:r>
          </w:p>
          <w:p w14:paraId="519B03E5" w14:textId="77777777" w:rsidR="00E05613" w:rsidRPr="007E5918" w:rsidRDefault="00E05613" w:rsidP="00E05613">
            <w:pPr>
              <w:tabs>
                <w:tab w:val="left" w:pos="3120"/>
                <w:tab w:val="left" w:pos="4200"/>
                <w:tab w:val="left" w:pos="5760"/>
                <w:tab w:val="left" w:pos="8160"/>
              </w:tabs>
              <w:outlineLvl w:val="0"/>
              <w:rPr>
                <w:rFonts w:ascii="Century Gothic" w:hAnsi="Century Gothic" w:cs="Calibri"/>
                <w:b/>
                <w:sz w:val="16"/>
                <w:szCs w:val="16"/>
              </w:rPr>
            </w:pPr>
          </w:p>
        </w:tc>
      </w:tr>
      <w:tr w:rsidR="00997361" w:rsidRPr="00997361" w14:paraId="182E3DF5" w14:textId="77777777" w:rsidTr="00984E8E">
        <w:trPr>
          <w:trHeight w:val="229"/>
        </w:trPr>
        <w:tc>
          <w:tcPr>
            <w:tcW w:w="15196" w:type="dxa"/>
            <w:tcBorders>
              <w:top w:val="nil"/>
              <w:left w:val="nil"/>
              <w:bottom w:val="nil"/>
              <w:right w:val="nil"/>
            </w:tcBorders>
            <w:shd w:val="clear" w:color="auto" w:fill="D9D9D9" w:themeFill="background1" w:themeFillShade="D9"/>
            <w:vAlign w:val="center"/>
          </w:tcPr>
          <w:p w14:paraId="1D4C6E40" w14:textId="7BF33D11" w:rsidR="00997361" w:rsidRPr="00997361" w:rsidRDefault="00997361" w:rsidP="00AF1BDC">
            <w:pPr>
              <w:tabs>
                <w:tab w:val="left" w:pos="3120"/>
                <w:tab w:val="left" w:pos="4200"/>
                <w:tab w:val="left" w:pos="5760"/>
                <w:tab w:val="left" w:pos="8160"/>
              </w:tabs>
              <w:jc w:val="center"/>
              <w:outlineLvl w:val="0"/>
              <w:rPr>
                <w:rFonts w:ascii="Century Gothic" w:hAnsi="Century Gothic" w:cs="Calibri"/>
                <w:b/>
                <w:sz w:val="16"/>
                <w:szCs w:val="16"/>
              </w:rPr>
            </w:pPr>
            <w:r w:rsidRPr="00F53E1B">
              <w:rPr>
                <w:rFonts w:ascii="Century Gothic" w:hAnsi="Century Gothic" w:cs="Calibri"/>
                <w:b/>
                <w:sz w:val="16"/>
                <w:szCs w:val="16"/>
              </w:rPr>
              <w:t>Legge 5 marzo 2024, n. 21</w:t>
            </w:r>
          </w:p>
        </w:tc>
      </w:tr>
      <w:tr w:rsidR="00997361" w:rsidRPr="00E05613" w14:paraId="4C980A9E" w14:textId="77777777" w:rsidTr="00984E8E">
        <w:trPr>
          <w:trHeight w:val="229"/>
        </w:trPr>
        <w:tc>
          <w:tcPr>
            <w:tcW w:w="15196" w:type="dxa"/>
            <w:tcBorders>
              <w:top w:val="nil"/>
              <w:left w:val="nil"/>
              <w:bottom w:val="nil"/>
              <w:right w:val="nil"/>
            </w:tcBorders>
            <w:shd w:val="clear" w:color="auto" w:fill="auto"/>
            <w:vAlign w:val="center"/>
          </w:tcPr>
          <w:p w14:paraId="18583933" w14:textId="77777777" w:rsidR="00997361" w:rsidRPr="00C32BB2" w:rsidRDefault="00997361" w:rsidP="00997361">
            <w:pPr>
              <w:pStyle w:val="Default"/>
              <w:jc w:val="center"/>
              <w:rPr>
                <w:rFonts w:ascii="Century Gothic" w:hAnsi="Century Gothic" w:cs="Calibri"/>
                <w:b/>
                <w:color w:val="auto"/>
                <w:sz w:val="14"/>
                <w:szCs w:val="14"/>
              </w:rPr>
            </w:pPr>
            <w:r w:rsidRPr="00C32BB2">
              <w:rPr>
                <w:rFonts w:ascii="Century Gothic" w:hAnsi="Century Gothic" w:cs="Calibri"/>
                <w:b/>
                <w:color w:val="auto"/>
                <w:sz w:val="14"/>
                <w:szCs w:val="14"/>
              </w:rPr>
              <w:t>Art. 11 (Svolgimento delle assemblee delle società per azioni quotate)</w:t>
            </w:r>
          </w:p>
          <w:p w14:paraId="0B9713A1" w14:textId="57599FE1"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1. Dopo l'articolo 135-undecies del testo unico di 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decreto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legislativo 24 febbraio 1998, n. 58, </w:t>
            </w:r>
            <w:proofErr w:type="spellStart"/>
            <w:r w:rsidRPr="00160442">
              <w:rPr>
                <w:rFonts w:ascii="Century Gothic" w:hAnsi="Century Gothic" w:cs="Arial"/>
                <w:bCs/>
                <w:color w:val="auto"/>
                <w:sz w:val="14"/>
                <w:szCs w:val="14"/>
              </w:rPr>
              <w:t>e'</w:t>
            </w:r>
            <w:proofErr w:type="spellEnd"/>
            <w:r w:rsidRPr="00160442">
              <w:rPr>
                <w:rFonts w:ascii="Century Gothic" w:hAnsi="Century Gothic" w:cs="Arial"/>
                <w:bCs/>
                <w:color w:val="auto"/>
                <w:sz w:val="14"/>
                <w:szCs w:val="14"/>
              </w:rPr>
              <w:t xml:space="preserve"> inserito il seguente: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 «Art.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135-undecies.1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(Intervento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mediante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rappresentante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designato).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statuto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può</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prevedere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l'intervento in assemblea e l'esercizio del diritto di voto avvengano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esclusivamente tramite il rappresentante designato dalla 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 dell'articolo 135-undecies. Al rappresentante designato possono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essere conferite anche deleghe o sub-deleghe ai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dell'articolo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135-novies, in deroga all'articolo 135-undecies, comma 4. </w:t>
            </w:r>
          </w:p>
          <w:p w14:paraId="3DD8B99E" w14:textId="1869BDBD"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2.</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Non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Fermo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restando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quanto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dall'articolo 126-bis, comma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periodo,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coloro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hanno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diritto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voto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possono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individualmente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 sulle materie all'ordine del giorno ovvero 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altrimenti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legge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quindicesimo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giorno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precedente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unica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convocazione dell'assemblea. Le proposte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messe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disposizione del pubblico nel sito internet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due giorni successivi alla scadenza del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termine.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legittimazione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presentazione individuale di proposte di delibera è subordinata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ricezione da parte della società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comunicazione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dall'articolo 83-sexies. </w:t>
            </w:r>
          </w:p>
          <w:p w14:paraId="0BEADFCA" w14:textId="2EF62199" w:rsidR="00997361" w:rsidRDefault="00997361" w:rsidP="00717198">
            <w:pPr>
              <w:pStyle w:val="Default"/>
              <w:rPr>
                <w:rFonts w:ascii="Century Gothic" w:hAnsi="Century Gothic" w:cs="Calibri"/>
                <w:b/>
                <w:sz w:val="16"/>
                <w:szCs w:val="16"/>
              </w:rPr>
            </w:pPr>
            <w:r w:rsidRPr="00160442">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all'articolo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127-ter</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esercitato unicamente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fornisce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almeno tre giorni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risposte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domande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pervenute. </w:t>
            </w:r>
            <w:r w:rsidR="00F92A15">
              <w:rPr>
                <w:rFonts w:ascii="Century Gothic" w:hAnsi="Century Gothic" w:cs="Arial"/>
                <w:bCs/>
                <w:color w:val="auto"/>
                <w:sz w:val="14"/>
                <w:szCs w:val="14"/>
              </w:rPr>
              <w:t>[</w:t>
            </w:r>
            <w:r>
              <w:rPr>
                <w:rFonts w:ascii="Century Gothic" w:hAnsi="Century Gothic" w:cs="Arial"/>
                <w:bCs/>
                <w:color w:val="auto"/>
                <w:sz w:val="14"/>
                <w:szCs w:val="14"/>
              </w:rPr>
              <w:t>…]</w:t>
            </w:r>
            <w:r w:rsidR="00F92A15">
              <w:rPr>
                <w:rFonts w:ascii="Century Gothic" w:hAnsi="Century Gothic" w:cs="Arial"/>
                <w:bCs/>
                <w:color w:val="auto"/>
                <w:sz w:val="14"/>
                <w:szCs w:val="14"/>
              </w:rPr>
              <w:t xml:space="preserve"> </w:t>
            </w:r>
          </w:p>
        </w:tc>
      </w:tr>
      <w:tr w:rsidR="00717198" w:rsidRPr="00997361" w14:paraId="753524A4" w14:textId="77777777" w:rsidTr="00984E8E">
        <w:trPr>
          <w:trHeight w:val="229"/>
        </w:trPr>
        <w:tc>
          <w:tcPr>
            <w:tcW w:w="15196" w:type="dxa"/>
            <w:tcBorders>
              <w:top w:val="nil"/>
              <w:left w:val="nil"/>
              <w:bottom w:val="nil"/>
              <w:right w:val="nil"/>
            </w:tcBorders>
            <w:shd w:val="clear" w:color="auto" w:fill="D9D9D9" w:themeFill="background1" w:themeFillShade="D9"/>
            <w:vAlign w:val="center"/>
          </w:tcPr>
          <w:p w14:paraId="6FCBB6EA" w14:textId="3A1E9447" w:rsidR="00717198" w:rsidRPr="00997361" w:rsidRDefault="00717198" w:rsidP="005630E3">
            <w:pPr>
              <w:tabs>
                <w:tab w:val="left" w:pos="3120"/>
                <w:tab w:val="left" w:pos="4200"/>
                <w:tab w:val="left" w:pos="5760"/>
                <w:tab w:val="left" w:pos="8160"/>
              </w:tabs>
              <w:jc w:val="center"/>
              <w:outlineLvl w:val="0"/>
              <w:rPr>
                <w:rFonts w:ascii="Century Gothic" w:hAnsi="Century Gothic" w:cs="Calibri"/>
                <w:b/>
                <w:sz w:val="16"/>
                <w:szCs w:val="16"/>
              </w:rPr>
            </w:pPr>
            <w:r w:rsidRPr="000D0A00">
              <w:rPr>
                <w:rFonts w:ascii="Century Gothic" w:hAnsi="Century Gothic" w:cs="Calibri"/>
                <w:b/>
                <w:sz w:val="16"/>
                <w:szCs w:val="16"/>
              </w:rPr>
              <w:t>SPAZIO PER EVENTUALE CITAZIONE ARTICOLO STATUTO CLIENTE</w:t>
            </w:r>
          </w:p>
        </w:tc>
      </w:tr>
      <w:tr w:rsidR="00717198" w:rsidRPr="00E05613" w14:paraId="6B337721" w14:textId="77777777" w:rsidTr="00984E8E">
        <w:trPr>
          <w:trHeight w:val="229"/>
        </w:trPr>
        <w:tc>
          <w:tcPr>
            <w:tcW w:w="15196" w:type="dxa"/>
            <w:tcBorders>
              <w:top w:val="nil"/>
              <w:left w:val="nil"/>
              <w:bottom w:val="nil"/>
              <w:right w:val="nil"/>
            </w:tcBorders>
            <w:shd w:val="clear" w:color="auto" w:fill="auto"/>
            <w:vAlign w:val="center"/>
          </w:tcPr>
          <w:p w14:paraId="6DB25B27" w14:textId="5F7964A2" w:rsidR="00FE7F4E" w:rsidRDefault="00FE7F4E" w:rsidP="005630E3">
            <w:pPr>
              <w:pStyle w:val="Default"/>
              <w:rPr>
                <w:rFonts w:ascii="Century Gothic" w:hAnsi="Century Gothic" w:cs="Arial"/>
                <w:bCs/>
                <w:color w:val="auto"/>
                <w:sz w:val="14"/>
                <w:szCs w:val="14"/>
              </w:rPr>
            </w:pPr>
          </w:p>
        </w:tc>
      </w:tr>
      <w:tr w:rsidR="00997361" w:rsidRPr="00E05613" w14:paraId="79504B5D" w14:textId="77777777" w:rsidTr="00984E8E">
        <w:trPr>
          <w:trHeight w:val="229"/>
        </w:trPr>
        <w:tc>
          <w:tcPr>
            <w:tcW w:w="15196" w:type="dxa"/>
            <w:tcBorders>
              <w:top w:val="nil"/>
              <w:left w:val="nil"/>
              <w:bottom w:val="nil"/>
              <w:right w:val="nil"/>
            </w:tcBorders>
            <w:shd w:val="clear" w:color="auto" w:fill="auto"/>
            <w:vAlign w:val="center"/>
          </w:tcPr>
          <w:p w14:paraId="7C057B18" w14:textId="6C5B4D63" w:rsidR="00997361" w:rsidRPr="00C32BB2" w:rsidRDefault="00997361" w:rsidP="006A7F34"/>
        </w:tc>
      </w:tr>
    </w:tbl>
    <w:p w14:paraId="2FCE4649" w14:textId="7F68BBDB" w:rsidR="00C87A6D" w:rsidRPr="00CB6B76" w:rsidRDefault="00C87A6D" w:rsidP="000E4971">
      <w:pPr>
        <w:pStyle w:val="Default"/>
        <w:jc w:val="both"/>
        <w:rPr>
          <w:rFonts w:ascii="Century Gothic" w:hAnsi="Century Gothic" w:cs="Arial"/>
          <w:bCs/>
          <w:color w:val="auto"/>
          <w:sz w:val="14"/>
          <w:szCs w:val="14"/>
        </w:rPr>
      </w:pPr>
    </w:p>
    <w:sectPr w:rsidR="00C87A6D" w:rsidRPr="00CB6B76" w:rsidSect="00737E50">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F900" w14:textId="77777777" w:rsidR="00495C4E" w:rsidRDefault="00495C4E">
      <w:r>
        <w:separator/>
      </w:r>
    </w:p>
  </w:endnote>
  <w:endnote w:type="continuationSeparator" w:id="0">
    <w:p w14:paraId="56000378" w14:textId="77777777" w:rsidR="00495C4E" w:rsidRDefault="00495C4E">
      <w:r>
        <w:continuationSeparator/>
      </w:r>
    </w:p>
  </w:endnote>
  <w:endnote w:type="continuationNotice" w:id="1">
    <w:p w14:paraId="51D145D6" w14:textId="77777777" w:rsidR="00495C4E" w:rsidRDefault="00495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70462405"/>
      <w:docPartObj>
        <w:docPartGallery w:val="Page Numbers (Bottom of Page)"/>
        <w:docPartUnique/>
      </w:docPartObj>
    </w:sdtPr>
    <w:sdtEnd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Obbligatorio</w:t>
    </w:r>
    <w:r>
      <w:rPr>
        <w:rFonts w:ascii="Century Gothic" w:hAnsi="Century Gothic"/>
        <w:sz w:val="16"/>
        <w:szCs w:val="16"/>
      </w:rPr>
      <w:t>;</w:t>
    </w:r>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60C1" w14:textId="77777777" w:rsidR="00495C4E" w:rsidRDefault="00495C4E">
      <w:r>
        <w:separator/>
      </w:r>
    </w:p>
  </w:footnote>
  <w:footnote w:type="continuationSeparator" w:id="0">
    <w:p w14:paraId="70016F4D" w14:textId="77777777" w:rsidR="00495C4E" w:rsidRDefault="00495C4E">
      <w:r>
        <w:continuationSeparator/>
      </w:r>
    </w:p>
  </w:footnote>
  <w:footnote w:type="continuationNotice" w:id="1">
    <w:p w14:paraId="6695CFA6" w14:textId="77777777" w:rsidR="00495C4E" w:rsidRDefault="00495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A159A9" w:rsidRDefault="0002089F" w:rsidP="008618B6">
          <w:pPr>
            <w:spacing w:before="60" w:after="60" w:line="24" w:lineRule="atLeast"/>
            <w:ind w:left="65" w:right="14"/>
            <w:rPr>
              <w:rFonts w:ascii="Century Gothic" w:hAnsi="Century Gothic"/>
              <w:b/>
              <w:color w:val="FFFFFF" w:themeColor="background1"/>
              <w:sz w:val="20"/>
              <w:szCs w:val="20"/>
              <w:lang w:val="en-GB"/>
            </w:rPr>
          </w:pPr>
          <w:r w:rsidRPr="00A159A9">
            <w:rPr>
              <w:rFonts w:ascii="Century Gothic" w:hAnsi="Century Gothic"/>
              <w:b/>
              <w:color w:val="FFFFFF" w:themeColor="background1"/>
              <w:sz w:val="20"/>
              <w:szCs w:val="20"/>
              <w:lang w:val="en-GB"/>
            </w:rPr>
            <w:t>Comer Industries</w:t>
          </w:r>
          <w:r w:rsidR="00666229" w:rsidRPr="00A159A9">
            <w:rPr>
              <w:rFonts w:ascii="Century Gothic" w:hAnsi="Century Gothic" w:cs="Arial"/>
              <w:color w:val="FFFFFF" w:themeColor="background1"/>
              <w:sz w:val="16"/>
              <w:szCs w:val="16"/>
              <w:lang w:val="en-GB"/>
            </w:rPr>
            <w:t xml:space="preserve"> </w:t>
          </w:r>
          <w:r w:rsidRPr="00A159A9">
            <w:rPr>
              <w:rFonts w:ascii="Century Gothic" w:hAnsi="Century Gothic"/>
              <w:b/>
              <w:color w:val="FFFFFF" w:themeColor="background1"/>
              <w:sz w:val="20"/>
              <w:szCs w:val="20"/>
              <w:lang w:val="en-GB"/>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A159A9" w:rsidRDefault="0002089F" w:rsidP="00C10E50">
          <w:pPr>
            <w:spacing w:line="24" w:lineRule="atLeast"/>
            <w:ind w:left="65" w:right="14"/>
            <w:rPr>
              <w:rFonts w:ascii="Century Gothic" w:hAnsi="Century Gothic"/>
              <w:b/>
              <w:color w:val="FFFFFF" w:themeColor="background1"/>
              <w:sz w:val="20"/>
              <w:szCs w:val="20"/>
              <w:lang w:val="en-GB"/>
            </w:rPr>
          </w:pPr>
          <w:r w:rsidRPr="00A159A9">
            <w:rPr>
              <w:rFonts w:ascii="Century Gothic" w:hAnsi="Century Gothic"/>
              <w:b/>
              <w:color w:val="FFFFFF" w:themeColor="background1"/>
              <w:sz w:val="20"/>
              <w:szCs w:val="20"/>
              <w:lang w:val="en-GB"/>
            </w:rPr>
            <w:t>Comer Industries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418C"/>
    <w:rsid w:val="00005D59"/>
    <w:rsid w:val="000063E8"/>
    <w:rsid w:val="000064FC"/>
    <w:rsid w:val="00006FCE"/>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A00"/>
    <w:rsid w:val="000D0E30"/>
    <w:rsid w:val="000D0F83"/>
    <w:rsid w:val="000D1690"/>
    <w:rsid w:val="000D2D5D"/>
    <w:rsid w:val="000D3AB2"/>
    <w:rsid w:val="000D49BE"/>
    <w:rsid w:val="000D558E"/>
    <w:rsid w:val="000D5829"/>
    <w:rsid w:val="000D59BF"/>
    <w:rsid w:val="000D6F8E"/>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6DDF"/>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5C4E"/>
    <w:rsid w:val="0049613B"/>
    <w:rsid w:val="004A049D"/>
    <w:rsid w:val="004A055C"/>
    <w:rsid w:val="004A1670"/>
    <w:rsid w:val="004A431E"/>
    <w:rsid w:val="004A45F0"/>
    <w:rsid w:val="004A49BD"/>
    <w:rsid w:val="004A550E"/>
    <w:rsid w:val="004A5FAF"/>
    <w:rsid w:val="004A6EC7"/>
    <w:rsid w:val="004B0D15"/>
    <w:rsid w:val="004B449D"/>
    <w:rsid w:val="004B5D0E"/>
    <w:rsid w:val="004B6409"/>
    <w:rsid w:val="004C0866"/>
    <w:rsid w:val="004C1899"/>
    <w:rsid w:val="004C3999"/>
    <w:rsid w:val="004C4323"/>
    <w:rsid w:val="004C49F0"/>
    <w:rsid w:val="004C56A8"/>
    <w:rsid w:val="004C6180"/>
    <w:rsid w:val="004C6236"/>
    <w:rsid w:val="004C624F"/>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40E5"/>
    <w:rsid w:val="007657AB"/>
    <w:rsid w:val="00766DDA"/>
    <w:rsid w:val="00767B43"/>
    <w:rsid w:val="00770198"/>
    <w:rsid w:val="007706B1"/>
    <w:rsid w:val="00770865"/>
    <w:rsid w:val="00773CE0"/>
    <w:rsid w:val="00774688"/>
    <w:rsid w:val="00775E26"/>
    <w:rsid w:val="0078052F"/>
    <w:rsid w:val="00781612"/>
    <w:rsid w:val="00785777"/>
    <w:rsid w:val="007863BF"/>
    <w:rsid w:val="00787013"/>
    <w:rsid w:val="00787A5F"/>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177B"/>
    <w:rsid w:val="007F3CBC"/>
    <w:rsid w:val="007F3ECE"/>
    <w:rsid w:val="007F5A75"/>
    <w:rsid w:val="007F63EE"/>
    <w:rsid w:val="007F7A6C"/>
    <w:rsid w:val="0080175D"/>
    <w:rsid w:val="00802448"/>
    <w:rsid w:val="0080356A"/>
    <w:rsid w:val="00804722"/>
    <w:rsid w:val="008064D0"/>
    <w:rsid w:val="0080703A"/>
    <w:rsid w:val="0080761D"/>
    <w:rsid w:val="00807654"/>
    <w:rsid w:val="008121F9"/>
    <w:rsid w:val="00812613"/>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24E4"/>
    <w:rsid w:val="008841B1"/>
    <w:rsid w:val="00884E76"/>
    <w:rsid w:val="00885BAD"/>
    <w:rsid w:val="0088608C"/>
    <w:rsid w:val="00886336"/>
    <w:rsid w:val="00886D06"/>
    <w:rsid w:val="00892623"/>
    <w:rsid w:val="008941ED"/>
    <w:rsid w:val="008960AF"/>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E3E"/>
    <w:rsid w:val="00A116B1"/>
    <w:rsid w:val="00A11E18"/>
    <w:rsid w:val="00A1281F"/>
    <w:rsid w:val="00A159A9"/>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640C"/>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7677"/>
    <w:rsid w:val="00C17BA8"/>
    <w:rsid w:val="00C20CDC"/>
    <w:rsid w:val="00C22318"/>
    <w:rsid w:val="00C223E8"/>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5729"/>
    <w:rsid w:val="00C73FF5"/>
    <w:rsid w:val="00C77703"/>
    <w:rsid w:val="00C806BA"/>
    <w:rsid w:val="00C855D8"/>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AA7"/>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A84"/>
    <w:rsid w:val="00D13BF7"/>
    <w:rsid w:val="00D15447"/>
    <w:rsid w:val="00D1676F"/>
    <w:rsid w:val="00D1792F"/>
    <w:rsid w:val="00D17B23"/>
    <w:rsid w:val="00D23D45"/>
    <w:rsid w:val="00D23F50"/>
    <w:rsid w:val="00D24889"/>
    <w:rsid w:val="00D248CC"/>
    <w:rsid w:val="00D24CF6"/>
    <w:rsid w:val="00D264D2"/>
    <w:rsid w:val="00D267E6"/>
    <w:rsid w:val="00D26DA6"/>
    <w:rsid w:val="00D26F74"/>
    <w:rsid w:val="00D3212C"/>
    <w:rsid w:val="00D32BCC"/>
    <w:rsid w:val="00D34946"/>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2DE"/>
    <w:rsid w:val="00E36015"/>
    <w:rsid w:val="00E36AE2"/>
    <w:rsid w:val="00E417B3"/>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069"/>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2A12"/>
    <w:rsid w:val="00F43DC7"/>
    <w:rsid w:val="00F4440C"/>
    <w:rsid w:val="00F446CB"/>
    <w:rsid w:val="00F44D04"/>
    <w:rsid w:val="00F45A47"/>
    <w:rsid w:val="00F47A2D"/>
    <w:rsid w:val="00F503B3"/>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3950</Words>
  <Characters>25239</Characters>
  <Application>Microsoft Office Word</Application>
  <DocSecurity>0</DocSecurity>
  <Lines>400</Lines>
  <Paragraphs>152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29037</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Brizzi Alessandro</cp:lastModifiedBy>
  <cp:revision>101</cp:revision>
  <cp:lastPrinted>2024-02-19T11:24:00Z</cp:lastPrinted>
  <dcterms:created xsi:type="dcterms:W3CDTF">2024-11-06T14:01:00Z</dcterms:created>
  <dcterms:modified xsi:type="dcterms:W3CDTF">2025-04-04T09:18:00Z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